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reported event): April 30, 2026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BEAZER HOMES USA,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001-12822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58-2086934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2002 Summit Boulevard, 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Atlanta, Georgia 30319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(770) 829-3700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BZH</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13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30, 2026, Beazer Homes USA, Inc. issued a press release announcing results of operations for the three and six months ended March 31, 2026. A copy of the press release is attached hereto as Exhibit 99.1.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provided pursuant to this Item 2.02, including Exhibit 99.1 in Item 9.01, is "furnished" and shall not be deemed to be "filed" with the Securities and Exchange Commission or incorporated by reference in any filing under the Securities and Exchange Act of 1934, as amended, or the Securities Act of 1933, as amended, except as shall be expressly set forth by specific reference in any such filings.</w:t>
      </w:r>
    </w:p>
    <w:tbl>
      <w:tblPr>
        <w:tblW w:w="3946" w:type="dxa"/>
        <w:jc w:val="left"/>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081" w:type="dxa"/>
        <w:jc w:val="left"/>
        <w:tblInd w:w="0" w:type="dxa"/>
        <w:tblLayout w:type="fixed"/>
        <w:tblCellMar>
          <w:top w:w="28" w:type="dxa"/>
          <w:left w:w="28" w:type="dxa"/>
          <w:bottom w:w="28" w:type="dxa"/>
          <w:right w:w="28" w:type="dxa"/>
        </w:tblCellMar>
      </w:tblPr>
      <w:tblGrid>
        <w:gridCol w:w="174"/>
        <w:gridCol w:w="153"/>
        <w:gridCol w:w="154"/>
        <w:gridCol w:w="1926"/>
        <w:gridCol w:w="1926"/>
        <w:gridCol w:w="2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33126.htm">
              <w:r>
                <w:rPr>
                  <w:rStyle w:val="InternetLink"/>
                  <w:rFonts w:ascii="Times New Roman;serif" w:hAnsi="Times New Roman;serif"/>
                  <w:b w:val="false"/>
                  <w:color w:val="0000FF"/>
                  <w:sz w:val="20"/>
                  <w:u w:val="single"/>
                </w:rPr>
                <w:t>Press Release dated April 30,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84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09"/>
        <w:gridCol w:w="109"/>
        <w:gridCol w:w="109"/>
        <w:gridCol w:w="109"/>
        <w:gridCol w:w="109"/>
        <w:gridCol w:w="109"/>
        <w:gridCol w:w="109"/>
        <w:gridCol w:w="109"/>
        <w:gridCol w:w="109"/>
        <w:gridCol w:w="259"/>
        <w:gridCol w:w="259"/>
        <w:gridCol w:w="259"/>
        <w:gridCol w:w="259"/>
        <w:gridCol w:w="259"/>
        <w:gridCol w:w="259"/>
        <w:gridCol w:w="1212"/>
        <w:gridCol w:w="1212"/>
        <w:gridCol w:w="17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BEAZER HOMES USA,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b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PRESS RELEASE</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40"/>
        </w:rPr>
      </w:pPr>
      <w:r>
        <w:rPr>
          <w:rFonts w:ascii="Times New Roman;serif" w:hAnsi="Times New Roman;serif"/>
          <w:b/>
          <w:color w:val="000000"/>
          <w:sz w:val="40"/>
        </w:rPr>
        <w:t>Beazer Homes Reports Second Quarter Fiscal 2026 Results</w:t>
      </w:r>
    </w:p>
    <w:p>
      <w:pPr>
        <w:pStyle w:val="TextBody"/>
        <w:bidi w:val="0"/>
        <w:spacing w:lineRule="auto" w:line="288" w:before="180" w:after="283"/>
        <w:jc w:val="both"/>
        <w:rPr/>
      </w:pPr>
      <w:r>
        <w:rPr>
          <w:rFonts w:ascii="Times New Roman;serif" w:hAnsi="Times New Roman;serif"/>
          <w:b/>
          <w:color w:val="000000"/>
          <w:sz w:val="22"/>
        </w:rPr>
        <w:t xml:space="preserve">ATLANTA, April 30, 2026 </w:t>
      </w:r>
      <w:r>
        <w:rPr>
          <w:rFonts w:ascii="Times New Roman;serif" w:hAnsi="Times New Roman;serif"/>
          <w:b w:val="false"/>
          <w:color w:val="000000"/>
          <w:sz w:val="22"/>
        </w:rPr>
        <w:t>- Beazer Homes USA, Inc. (NYSE: BZH) (</w:t>
      </w:r>
      <w:r>
        <w:rPr>
          <w:rFonts w:ascii="Times New Roman;serif" w:hAnsi="Times New Roman;serif"/>
          <w:b w:val="false"/>
          <w:color w:val="006EBF"/>
          <w:sz w:val="22"/>
        </w:rPr>
        <w:t>www.beazer.com</w:t>
      </w:r>
      <w:r>
        <w:rPr>
          <w:rFonts w:ascii="Times New Roman;serif" w:hAnsi="Times New Roman;serif"/>
          <w:b w:val="false"/>
          <w:color w:val="000000"/>
          <w:sz w:val="22"/>
        </w:rPr>
        <w:t>) today announced its financial results for the three and six months ended March 31, 2026.</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"Second quarter results reflected a positive start to the spring selling season, with results generally in line with our expectations," said Allan P. Merrill, the Company’s Chairman and Chief Executive Officer. "However, geopolitical events triggered a rapid rise in mortgage rates and gas prices in March, impacting consumer sentiment. As a result, we are more cautious about near-term demand."</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"Despite these uncertainties, we still have visibility into our second half margin improvement catalysts. Construction cost reductions, favorable community and to-be-built mix shifts, and increasing contributions from our newest communities continue to materialize. Macroeconomic headwinds and affordability challenges persist, but we have high conviction in our differentiated strategy and the underlying value of our assets, so we accelerated our share repurchases during the second quarter, spending another $30 million on buybacks."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Speaking to Beazer’s Multi-Year Goals, Mr. Merrill said, "We continue to work toward our fiscal 2027 goals for community count, deleveraging, and book value per share growth. While the industry cycle and global events present near-term challenges, we continue to execute our product strategy, focus on margin expansion, and prudently manage the balance sheet and allocate capital, which together position Beazer for improved returns."</w:t>
      </w:r>
    </w:p>
    <w:p>
      <w:pPr>
        <w:pStyle w:val="TextBody"/>
        <w:bidi w:val="0"/>
        <w:spacing w:lineRule="auto" w:line="28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Beazer Homes Fiscal Second Quarter 2026 Highlights and Comparison to Fiscal Second Quarter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Net loss was </w:t>
      </w:r>
      <w:r>
        <w:rPr>
          <w:rFonts w:ascii="Times New Roman;serif" w:hAnsi="Times New Roman;serif"/>
          <w:b w:val="false"/>
          <w:color w:val="000000"/>
          <w:sz w:val="22"/>
          <w:shd w:fill="FFFFFF" w:val="clear"/>
        </w:rPr>
        <w:t>$0.9 million</w:t>
      </w:r>
      <w:r>
        <w:rPr>
          <w:rFonts w:ascii="Times New Roman;serif" w:hAnsi="Times New Roman;serif"/>
          <w:b w:val="false"/>
          <w:color w:val="000000"/>
          <w:sz w:val="22"/>
        </w:rPr>
        <w:t xml:space="preserve">, or net loss of $0.03 per diluted share. During the fiscal second quarter 2025, net income was </w:t>
      </w:r>
      <w:r>
        <w:rPr>
          <w:rFonts w:ascii="Times New Roman;serif" w:hAnsi="Times New Roman;serif"/>
          <w:b w:val="false"/>
          <w:color w:val="000000"/>
          <w:sz w:val="22"/>
          <w:shd w:fill="FFFFFF" w:val="clear"/>
        </w:rPr>
        <w:t>$12.8 million</w:t>
      </w:r>
      <w:r>
        <w:rPr>
          <w:rFonts w:ascii="Times New Roman;serif" w:hAnsi="Times New Roman;serif"/>
          <w:b w:val="false"/>
          <w:color w:val="000000"/>
          <w:sz w:val="22"/>
        </w:rPr>
        <w:t>, or $0.42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Adjusted EBITDA was $2.6 million, compared to Adjusted EBITDA of </w:t>
      </w:r>
      <w:r>
        <w:rPr>
          <w:rFonts w:ascii="Times New Roman;serif" w:hAnsi="Times New Roman;serif"/>
          <w:b w:val="false"/>
          <w:color w:val="000000"/>
          <w:sz w:val="22"/>
          <w:shd w:fill="FFFFFF" w:val="clear"/>
        </w:rPr>
        <w:t xml:space="preserve">$38.8 million a </w:t>
      </w:r>
      <w:r>
        <w:rPr>
          <w:rFonts w:ascii="Times New Roman;serif" w:hAnsi="Times New Roman;serif"/>
          <w:b w:val="false"/>
          <w:color w:val="000000"/>
          <w:sz w:val="22"/>
        </w:rPr>
        <w:t>year ago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Homebuilding revenue was $397.7 million, down 28.5% on a 29.8% decrease in home closings to 757, partially offset by a 2.0% increase in average selling price (ASP) to $525.4 thousand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Homebuilding gross margin was 12.0%, down 310 basis points compared to a year ago. Excluding impairments, abandonments and amortized interest, homebuilding gross margin was 15.6%, down 270 basis points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SG&amp;A as a percentage of total revenue was 15.5%, up 350 basis points; SG&amp;A expense was $63.6 million, down 6.5%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new orders were 1,048, down 4.6% on a 7.2% decrease in orders per community per month to 2.1, partially offset by a 2.9% increase in average active community count to 167</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Active community count at period-end of 169, up 4.3%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Backlog dollar value was $756.1 million, down 9.1% on a 14.9% decrease in backlog units to 1,299, partially offset by a 6.8% increase in ASP of homes in backlog to $582.1 thousand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Land acquisition and land development spending was $187.0 million, down 5.1% from $197.0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Repurchased $30.0 million of the Company's outstanding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Controlled lots of 24,824, down 12.3% from 28,290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Unrestricted cash at quarter end was $116.4 million; total li</w:t>
      </w:r>
      <w:r>
        <w:rPr>
          <w:rFonts w:ascii="Times New Roman;serif" w:hAnsi="Times New Roman;serif"/>
          <w:b w:val="false"/>
          <w:color w:val="000000"/>
          <w:sz w:val="22"/>
          <w:shd w:fill="FFFFFF" w:val="clear"/>
        </w:rPr>
        <w:t>quidity was $401.1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Total debt to total capitalization ratio of 51.2% at quarter end compared to 46.8% a year ago. Net debt to net capitalization ratio was 48.7% at quarter end compared to 44.8% a year ago</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following provides additional details on the Company's performance during the fiscal second quarter 2026:</w:t>
      </w:r>
    </w:p>
    <w:p>
      <w:pPr>
        <w:pStyle w:val="TextBody"/>
        <w:bidi w:val="0"/>
        <w:spacing w:lineRule="auto" w:line="288" w:before="180" w:after="283"/>
        <w:jc w:val="both"/>
        <w:rPr/>
      </w:pPr>
      <w:r>
        <w:rPr>
          <w:rFonts w:ascii="Times New Roman;serif" w:hAnsi="Times New Roman;serif"/>
          <w:b w:val="false"/>
          <w:i/>
          <w:color w:val="000000"/>
          <w:sz w:val="22"/>
          <w:shd w:fill="FFFFFF" w:val="clear"/>
        </w:rPr>
        <w:t>Profitability</w:t>
      </w:r>
      <w:r>
        <w:rPr>
          <w:rFonts w:ascii="Times New Roman;serif" w:hAnsi="Times New Roman;serif"/>
          <w:b w:val="false"/>
          <w:color w:val="000000"/>
          <w:sz w:val="22"/>
          <w:shd w:fill="FFFFFF" w:val="clear"/>
        </w:rPr>
        <w:t xml:space="preserve">. Net loss was $0.9 million, generating diluted loss per share of </w:t>
      </w:r>
      <w:r>
        <w:rPr>
          <w:rFonts w:ascii="Times New Roman;serif" w:hAnsi="Times New Roman;serif"/>
          <w:b w:val="false"/>
          <w:color w:val="000000"/>
          <w:sz w:val="22"/>
        </w:rPr>
        <w:t>$0.03</w:t>
      </w:r>
      <w:r>
        <w:rPr>
          <w:rFonts w:ascii="Times New Roman;serif" w:hAnsi="Times New Roman;serif"/>
          <w:b w:val="false"/>
          <w:color w:val="000000"/>
          <w:sz w:val="22"/>
          <w:shd w:fill="FFFFFF" w:val="clear"/>
        </w:rPr>
        <w:t xml:space="preserve">. Second quarter Adjusted EBITDA was $2.6 million </w:t>
      </w:r>
      <w:r>
        <w:rPr>
          <w:rFonts w:ascii="Times New Roman;serif" w:hAnsi="Times New Roman;serif"/>
          <w:b w:val="false"/>
          <w:color w:val="000000"/>
          <w:sz w:val="22"/>
        </w:rPr>
        <w:t xml:space="preserve">compared to Adjusted EBITDA of </w:t>
      </w:r>
      <w:r>
        <w:rPr>
          <w:rFonts w:ascii="Times New Roman;serif" w:hAnsi="Times New Roman;serif"/>
          <w:b w:val="false"/>
          <w:color w:val="000000"/>
          <w:sz w:val="22"/>
          <w:shd w:fill="FFFFFF" w:val="clear"/>
        </w:rPr>
        <w:t xml:space="preserve">$38.8 million a </w:t>
      </w:r>
      <w:r>
        <w:rPr>
          <w:rFonts w:ascii="Times New Roman;serif" w:hAnsi="Times New Roman;serif"/>
          <w:b w:val="false"/>
          <w:color w:val="000000"/>
          <w:sz w:val="22"/>
        </w:rPr>
        <w:t>year ago. The decrease in Adjusted EBITDA was</w:t>
      </w:r>
      <w:r>
        <w:rPr>
          <w:color w:val="000000"/>
          <w:shd w:fill="FFFFFF" w:val="clear"/>
        </w:rPr>
        <w:t xml:space="preserve"> </w:t>
      </w:r>
      <w:r>
        <w:rPr>
          <w:rFonts w:ascii="Times New Roman;serif" w:hAnsi="Times New Roman;serif"/>
          <w:b w:val="false"/>
          <w:color w:val="000000"/>
          <w:sz w:val="22"/>
          <w:shd w:fill="FFFFFF" w:val="clear"/>
        </w:rPr>
        <w:t>primarily due to lower closings and lower gross margin.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283"/>
        <w:jc w:val="both"/>
        <w:rPr/>
      </w:pPr>
      <w:r>
        <w:rPr>
          <w:rFonts w:ascii="Times New Roman;serif" w:hAnsi="Times New Roman;serif"/>
          <w:b w:val="false"/>
          <w:i/>
          <w:color w:val="000000"/>
          <w:sz w:val="22"/>
          <w:shd w:fill="FFFFFF" w:val="clear"/>
        </w:rPr>
        <w:t>Orders</w:t>
      </w:r>
      <w:r>
        <w:rPr>
          <w:rFonts w:ascii="Times New Roman;serif" w:hAnsi="Times New Roman;serif"/>
          <w:b w:val="false"/>
          <w:color w:val="000000"/>
          <w:sz w:val="22"/>
          <w:shd w:fill="FFFFFF" w:val="clear"/>
        </w:rPr>
        <w:t xml:space="preserve">. Net new orders for the second quarter decreased to 1,048, down 4.6% from 1,098 in the prior year quarter, driven by a 7.2% decrease in sales pace to 2.1 orders per community per month from 2.3 in the prior year quarter, partially offset by a </w:t>
      </w:r>
      <w:r>
        <w:rPr>
          <w:rFonts w:ascii="Times New Roman;serif" w:hAnsi="Times New Roman;serif"/>
          <w:b w:val="false"/>
          <w:color w:val="000000"/>
          <w:sz w:val="22"/>
        </w:rPr>
        <w:t>2.9% increase in average community count to 167 from 163 a year ago</w:t>
      </w:r>
      <w:r>
        <w:rPr>
          <w:rFonts w:ascii="Times New Roman;serif" w:hAnsi="Times New Roman;serif"/>
          <w:b w:val="false"/>
          <w:color w:val="000000"/>
          <w:sz w:val="22"/>
          <w:shd w:fill="FFFFFF" w:val="clear"/>
        </w:rPr>
        <w:t xml:space="preserve">. The cancellation rate for the quarter was 13.5%, down from 16.9% in the prior year quarter. </w:t>
      </w:r>
    </w:p>
    <w:p>
      <w:pPr>
        <w:pStyle w:val="TextBody"/>
        <w:bidi w:val="0"/>
        <w:spacing w:lineRule="auto" w:line="288" w:before="180" w:after="283"/>
        <w:jc w:val="both"/>
        <w:rPr/>
      </w:pPr>
      <w:r>
        <w:rPr>
          <w:rFonts w:ascii="Times New Roman;serif" w:hAnsi="Times New Roman;serif"/>
          <w:b w:val="false"/>
          <w:i/>
          <w:color w:val="000000"/>
          <w:sz w:val="22"/>
          <w:shd w:fill="FFFFFF" w:val="clear"/>
        </w:rPr>
        <w:t>Backlog</w:t>
      </w:r>
      <w:r>
        <w:rPr>
          <w:rFonts w:ascii="Times New Roman;serif" w:hAnsi="Times New Roman;serif"/>
          <w:b w:val="false"/>
          <w:color w:val="000000"/>
          <w:sz w:val="22"/>
          <w:shd w:fill="FFFFFF" w:val="clear"/>
        </w:rPr>
        <w:t>. The dollar value of homes in backlog as of March 31, 2026 was $756.1 million, representing 1,299 homes, compared to $831.5 million, representing 1,526 homes, at the same time last year. The ASP of homes in backlog was $582.1 thousand, up 6.8% versus the prior year quarter. The increase in backlog ASP was primarily due to changes in product and community mix.</w:t>
      </w:r>
    </w:p>
    <w:p>
      <w:pPr>
        <w:pStyle w:val="TextBody"/>
        <w:bidi w:val="0"/>
        <w:spacing w:lineRule="auto" w:line="288" w:before="180" w:after="283"/>
        <w:jc w:val="both"/>
        <w:rPr/>
      </w:pPr>
      <w:r>
        <w:rPr>
          <w:rFonts w:ascii="Times New Roman;serif" w:hAnsi="Times New Roman;serif"/>
          <w:b w:val="false"/>
          <w:i/>
          <w:color w:val="000000"/>
          <w:sz w:val="22"/>
          <w:shd w:fill="FFFFFF" w:val="clear"/>
        </w:rPr>
        <w:t>Homebuilding Revenue</w:t>
      </w:r>
      <w:r>
        <w:rPr>
          <w:rFonts w:ascii="Times New Roman;serif" w:hAnsi="Times New Roman;serif"/>
          <w:b w:val="false"/>
          <w:color w:val="000000"/>
          <w:sz w:val="22"/>
          <w:shd w:fill="FFFFFF" w:val="clear"/>
        </w:rPr>
        <w:t xml:space="preserve">. Second quarter homebuilding revenue was $397.7 million, down 28.5% year-over-year. The decrease in homebuilding revenue was driven by a 29.8% decrease in home closings to 757 homes, partially offset by a 2.0% increase in ASP to $525.4 thousand. </w:t>
      </w:r>
      <w:r>
        <w:rPr>
          <w:rFonts w:ascii="Times New Roman;serif" w:hAnsi="Times New Roman;serif"/>
          <w:b w:val="false"/>
          <w:color w:val="000000"/>
          <w:sz w:val="22"/>
        </w:rPr>
        <w:t>The decrease in closings was primarily due to lower beginning backlog, partially offset by improved construction cycle times compared to the prior year quarter.</w:t>
      </w:r>
    </w:p>
    <w:p>
      <w:pPr>
        <w:pStyle w:val="TextBody"/>
        <w:bidi w:val="0"/>
        <w:spacing w:lineRule="auto" w:line="288" w:before="180" w:after="283"/>
        <w:jc w:val="both"/>
        <w:rPr/>
      </w:pPr>
      <w:r>
        <w:rPr>
          <w:rFonts w:ascii="Times New Roman;serif" w:hAnsi="Times New Roman;serif"/>
          <w:b w:val="false"/>
          <w:i/>
          <w:color w:val="000000"/>
          <w:sz w:val="22"/>
          <w:shd w:fill="FFFFFF" w:val="clear"/>
        </w:rPr>
        <w:t>Homebuilding Gross Margin</w:t>
      </w:r>
      <w:r>
        <w:rPr>
          <w:rFonts w:ascii="Times New Roman;serif" w:hAnsi="Times New Roman;serif"/>
          <w:b w:val="false"/>
          <w:color w:val="000000"/>
          <w:sz w:val="22"/>
          <w:shd w:fill="FFFFFF" w:val="clear"/>
        </w:rPr>
        <w:t xml:space="preserve">. Homebuilding gross margin </w:t>
      </w:r>
      <w:r>
        <w:rPr>
          <w:rFonts w:ascii="Times New Roman;serif" w:hAnsi="Times New Roman;serif"/>
          <w:b w:val="false"/>
          <w:color w:val="000000"/>
          <w:sz w:val="22"/>
        </w:rPr>
        <w:t>was 12.0%, down 310 basis points compared to a year ago. E</w:t>
      </w:r>
      <w:r>
        <w:rPr>
          <w:rFonts w:ascii="Times New Roman;serif" w:hAnsi="Times New Roman;serif"/>
          <w:b w:val="false"/>
          <w:color w:val="000000"/>
          <w:sz w:val="22"/>
          <w:shd w:fill="FFFFFF" w:val="clear"/>
        </w:rPr>
        <w:t>xcluding impairments, abandonments and amor</w:t>
      </w:r>
      <w:r>
        <w:rPr>
          <w:rFonts w:ascii="Times New Roman;serif" w:hAnsi="Times New Roman;serif"/>
          <w:b w:val="false"/>
          <w:color w:val="000000"/>
          <w:sz w:val="22"/>
        </w:rPr>
        <w:t xml:space="preserve">tized interest, homebuilding gross margin was 15.6% for the second quarter, down from 18.3% in the prior year quarter </w:t>
      </w:r>
      <w:r>
        <w:rPr>
          <w:rFonts w:ascii="Times New Roman;serif" w:hAnsi="Times New Roman;serif"/>
          <w:b w:val="false"/>
          <w:color w:val="000000"/>
          <w:sz w:val="22"/>
          <w:shd w:fill="FFFFFF" w:val="clear"/>
        </w:rPr>
        <w:t>primarily due to an increase in price concessions and closing cost incentives,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2"/>
        </w:rPr>
        <w:t>SG&amp;A Expenses</w:t>
      </w:r>
      <w:r>
        <w:rPr>
          <w:rFonts w:ascii="Times New Roman;serif" w:hAnsi="Times New Roman;serif"/>
          <w:b w:val="false"/>
          <w:color w:val="000000"/>
          <w:sz w:val="22"/>
        </w:rPr>
        <w:t>. Selling, general and administrative expenses as a percentage of total revenue was 15.5% for the quarter, up 350 basis points year-over-year primarily due to lower homebuilding revenue. SG&amp;A expense was $63.6 million for the quarter ended March 31, 2026, down 6.5% compared to the prior year quarter primarily due to lower commissions.</w:t>
      </w:r>
    </w:p>
    <w:p>
      <w:pPr>
        <w:pStyle w:val="TextBody"/>
        <w:bidi w:val="0"/>
        <w:spacing w:lineRule="auto" w:line="288" w:before="180" w:after="283"/>
        <w:jc w:val="both"/>
        <w:rPr/>
      </w:pPr>
      <w:r>
        <w:rPr>
          <w:rFonts w:ascii="Times New Roman;serif" w:hAnsi="Times New Roman;serif"/>
          <w:b w:val="false"/>
          <w:i/>
          <w:color w:val="000000"/>
          <w:sz w:val="22"/>
        </w:rPr>
        <w:t>Income Taxes</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Income tax benefit for the second quarter was $17.6 million compared to income tax expense of $1.4 million in the prior year quarter. T</w:t>
      </w:r>
      <w:r>
        <w:rPr>
          <w:rFonts w:ascii="Times New Roman;serif" w:hAnsi="Times New Roman;serif"/>
          <w:b w:val="false"/>
          <w:color w:val="000000"/>
          <w:sz w:val="22"/>
        </w:rPr>
        <w:t>he Company's effective tax rate for the current fiscal quarter was impacted by a change in the approach used to calculate the interim income tax provision, reducing comparability with the prior year quarter. Refer to Note 10 to the condensed consolidated financial statements within the Company's Form 10-Q for the quarter ended March 31, 2026 for additional details.</w:t>
      </w:r>
    </w:p>
    <w:p>
      <w:pPr>
        <w:pStyle w:val="TextBody"/>
        <w:bidi w:val="0"/>
        <w:spacing w:lineRule="auto" w:line="288" w:before="180" w:after="283"/>
        <w:jc w:val="both"/>
        <w:rPr/>
      </w:pPr>
      <w:r>
        <w:rPr>
          <w:rFonts w:ascii="Times New Roman;serif" w:hAnsi="Times New Roman;serif"/>
          <w:b w:val="false"/>
          <w:i/>
          <w:color w:val="000000"/>
          <w:sz w:val="22"/>
          <w:shd w:fill="FFFFFF" w:val="clear"/>
        </w:rPr>
        <w:t xml:space="preserve">Land Position. </w:t>
      </w:r>
      <w:r>
        <w:rPr>
          <w:rFonts w:ascii="Times New Roman;serif" w:hAnsi="Times New Roman;serif"/>
          <w:b w:val="false"/>
          <w:color w:val="000000"/>
          <w:sz w:val="22"/>
        </w:rPr>
        <w:t xml:space="preserve">During the </w:t>
      </w:r>
      <w:r>
        <w:rPr>
          <w:rFonts w:ascii="Times New Roman;serif" w:hAnsi="Times New Roman;serif"/>
          <w:b w:val="false"/>
          <w:color w:val="000000"/>
          <w:sz w:val="22"/>
          <w:shd w:fill="FFFFFF" w:val="clear"/>
        </w:rPr>
        <w:t>second</w:t>
      </w:r>
      <w:r>
        <w:rPr>
          <w:color w:val="000000"/>
        </w:rPr>
        <w:t xml:space="preserve"> </w:t>
      </w:r>
      <w:r>
        <w:rPr>
          <w:rFonts w:ascii="Times New Roman;serif" w:hAnsi="Times New Roman;serif"/>
          <w:b w:val="false"/>
          <w:color w:val="000000"/>
          <w:sz w:val="22"/>
        </w:rPr>
        <w:t xml:space="preserve">quarter, land acquisition and land development spending was $187.0 million, down 5.1% year-over-year. </w:t>
      </w:r>
      <w:r>
        <w:rPr>
          <w:rFonts w:ascii="Times New Roman;serif" w:hAnsi="Times New Roman;serif"/>
          <w:b w:val="false"/>
          <w:color w:val="000000"/>
          <w:sz w:val="22"/>
          <w:shd w:fill="FFFFFF" w:val="clear"/>
        </w:rPr>
        <w:t>Controlled lots decreased 12.3% to 24,824, compared to 28,290 from</w:t>
      </w:r>
      <w:r>
        <w:rPr>
          <w:color w:val="000000"/>
        </w:rPr>
        <w:t xml:space="preserve"> </w:t>
      </w:r>
      <w:r>
        <w:rPr>
          <w:rFonts w:ascii="Times New Roman;serif" w:hAnsi="Times New Roman;serif"/>
          <w:b w:val="false"/>
          <w:color w:val="000000"/>
          <w:sz w:val="22"/>
        </w:rPr>
        <w:t>the prior year quarter. Excluding land held for future development and land held for sale lots, active lots controlled were 23,619, down 14.2% year-over-year, as the Company manages land spend and lot position to improve capital efficiency and support future community count growth. As of March 31, 2026, the Company controlled 59.9% of its total active lots through option agreements compared to 59.3% as of March 31, 2025.</w:t>
      </w:r>
    </w:p>
    <w:p>
      <w:pPr>
        <w:pStyle w:val="TextBody"/>
        <w:bidi w:val="0"/>
        <w:spacing w:lineRule="auto" w:line="288" w:before="180" w:after="283"/>
        <w:jc w:val="both"/>
        <w:rPr/>
      </w:pPr>
      <w:r>
        <w:rPr>
          <w:rFonts w:ascii="Times New Roman;serif" w:hAnsi="Times New Roman;serif"/>
          <w:b w:val="false"/>
          <w:i/>
          <w:color w:val="000000"/>
          <w:sz w:val="22"/>
        </w:rPr>
        <w:t>Liquidity</w:t>
      </w:r>
      <w:r>
        <w:rPr>
          <w:rFonts w:ascii="Times New Roman;serif" w:hAnsi="Times New Roman;serif"/>
          <w:b w:val="false"/>
          <w:color w:val="000000"/>
          <w:sz w:val="22"/>
        </w:rPr>
        <w:t>. At the close of the second quarter, the Com</w:t>
      </w:r>
      <w:r>
        <w:rPr>
          <w:rFonts w:ascii="Times New Roman;serif" w:hAnsi="Times New Roman;serif"/>
          <w:b w:val="false"/>
          <w:color w:val="000000"/>
          <w:sz w:val="22"/>
          <w:shd w:fill="FFFFFF" w:val="clear"/>
        </w:rPr>
        <w:t>pany had $401.1 million of available liquidity, including $116.4 million of unrestricted cash and $284.7 million of remaining capacity under the unsecured revolving credit facility, compared to total available liquidity of $377.7 million a year ago.</w:t>
      </w:r>
    </w:p>
    <w:p>
      <w:pPr>
        <w:pStyle w:val="TextBody"/>
        <w:bidi w:val="0"/>
        <w:spacing w:lineRule="auto" w:line="288" w:before="180" w:after="283"/>
        <w:jc w:val="both"/>
        <w:rPr/>
      </w:pPr>
      <w:r>
        <w:rPr>
          <w:rFonts w:ascii="Times New Roman;serif" w:hAnsi="Times New Roman;serif"/>
          <w:b w:val="false"/>
          <w:i/>
          <w:color w:val="000000"/>
          <w:sz w:val="22"/>
        </w:rPr>
        <w:t>Senior Unsecured Revolving Credit Facility</w:t>
      </w:r>
      <w:r>
        <w:rPr>
          <w:rFonts w:ascii="Times New Roman;serif" w:hAnsi="Times New Roman;serif"/>
          <w:b w:val="false"/>
          <w:color w:val="000000"/>
          <w:sz w:val="22"/>
        </w:rPr>
        <w:t>. During March 2026, the Company increased</w:t>
      </w:r>
      <w:r>
        <w:rPr>
          <w:color w:val="000000"/>
          <w:shd w:fill="FFFFFF" w:val="clear"/>
        </w:rPr>
        <w:t xml:space="preserve"> </w:t>
      </w:r>
      <w:r>
        <w:rPr>
          <w:rFonts w:ascii="Times New Roman;serif" w:hAnsi="Times New Roman;serif"/>
          <w:b w:val="false"/>
          <w:color w:val="000000"/>
          <w:sz w:val="22"/>
          <w:shd w:fill="FFFFFF" w:val="clear"/>
        </w:rPr>
        <w:t xml:space="preserve">the available borrowing capacity under the Senior Unsecured Revolving Credit Facility from </w:t>
      </w:r>
      <w:r>
        <w:rPr>
          <w:rFonts w:ascii="Times New Roman;serif" w:hAnsi="Times New Roman;serif"/>
          <w:b w:val="false"/>
          <w:color w:val="000000"/>
          <w:sz w:val="22"/>
        </w:rPr>
        <w:t>$365.0 million to $525.0 million and extended the maturity date to March 2030.</w:t>
      </w:r>
    </w:p>
    <w:p>
      <w:pPr>
        <w:pStyle w:val="TextBody"/>
        <w:bidi w:val="0"/>
        <w:spacing w:lineRule="auto" w:line="288" w:before="180" w:after="283"/>
        <w:jc w:val="both"/>
        <w:rPr/>
      </w:pPr>
      <w:r>
        <w:rPr>
          <w:rFonts w:ascii="Times New Roman;serif" w:hAnsi="Times New Roman;serif"/>
          <w:b w:val="false"/>
          <w:i/>
          <w:color w:val="000000"/>
          <w:sz w:val="22"/>
        </w:rPr>
        <w:t xml:space="preserve">Share Repurchases. </w:t>
      </w:r>
      <w:r>
        <w:rPr>
          <w:rFonts w:ascii="Times New Roman;serif" w:hAnsi="Times New Roman;serif"/>
          <w:b w:val="false"/>
          <w:color w:val="000000"/>
          <w:sz w:val="22"/>
        </w:rPr>
        <w:t xml:space="preserve">During the </w:t>
      </w:r>
      <w:r>
        <w:rPr>
          <w:rFonts w:ascii="Times New Roman;serif" w:hAnsi="Times New Roman;serif"/>
          <w:b w:val="false"/>
          <w:color w:val="000000"/>
          <w:sz w:val="22"/>
          <w:shd w:fill="FFFFFF" w:val="clear"/>
        </w:rPr>
        <w:t>second</w:t>
      </w:r>
      <w:r>
        <w:rPr>
          <w:color w:val="000000"/>
        </w:rPr>
        <w:t xml:space="preserve"> </w:t>
      </w:r>
      <w:r>
        <w:rPr>
          <w:rFonts w:ascii="Times New Roman;serif" w:hAnsi="Times New Roman;serif"/>
          <w:b w:val="false"/>
          <w:color w:val="000000"/>
          <w:sz w:val="22"/>
        </w:rPr>
        <w:t xml:space="preserve">quarter, the Company repurchased 1.2 million shares of its outstanding common stock for an aggregate $30.0 million at an average price per share of $25.54.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Commitment to Sustainability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During the second fiscal quarter, Beazer Homes received four RESNET awards recognizing its leadership in energy efficiency and home performance. RESNET, a national nonprofit standards organization, oversees the Home Energy Rating System (HERS) Index and the accreditation framework used to evaluate residential energy performance. These honors included the RESNET President’s Awards for both the North and South regions, recognizing the achievement of low HERS scores in their respective regions. The Company also received the Net Zero Production Builder and the Lowest HERS Score Production Builder awards, reflecting the lowest average HERS Index score among qualifying builders. Together, these awards underscore Beazer Homes’ continued focus on delivering high</w:t>
        <w:noBreakHyphen/>
        <w:t>performance, energy</w:t>
        <w:noBreakHyphen/>
        <w:t>efficient homes that help customers reduce energy costs.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addition, the Company earned the 2026 Top Workplaces USA award for the fourth consecutive year. Participating companies are evaluated based on anonymous employee feedback from a research-based survey, benchmarked against peer organizations of similar size and scored across 15 Culture Drivers associated with high performance.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Since 2017, Beazer Homes, through the Beazer Charity Foundation and with the support of its employees and trade partners, has helped raise more than $10 million in cumulative donations to the Fisher House Foundation, a nonprofit that provides free housing for military service members, veterans, and their families while receiving medical care. Beyond this long-standing partnership, Beazer employees support a wide range of local initiatives focused on housing, health, youth development, and community services. Reflecting this commitment, the Company held its nationwide Day of Service for the second consecutive year, engaging nearly all employees to contribute 3,589 volunteer hours across 72 locations in support of local nonprofit organizations. </w:t>
      </w:r>
    </w:p>
    <w:p>
      <w:pPr>
        <w:pStyle w:val="TextBody"/>
        <w:bidi w:val="0"/>
        <w:spacing w:lineRule="auto" w:line="288" w:before="180" w:after="283"/>
        <w:jc w:val="both"/>
        <w:rPr>
          <w:rFonts w:ascii="Times New Roman;serif" w:hAnsi="Times New Roman;serif"/>
          <w:b/>
          <w:color w:val="000000"/>
          <w:sz w:val="22"/>
          <w:u w:val="single"/>
        </w:rPr>
      </w:pPr>
      <w:r>
        <w:rPr>
          <w:rFonts w:ascii="Times New Roman;serif" w:hAnsi="Times New Roman;serif"/>
          <w:b/>
          <w:color w:val="000000"/>
          <w:sz w:val="22"/>
          <w:u w:val="single"/>
        </w:rPr>
        <w:t>Conference Call</w:t>
      </w:r>
    </w:p>
    <w:p>
      <w:pPr>
        <w:pStyle w:val="TextBody"/>
        <w:bidi w:val="0"/>
        <w:spacing w:lineRule="auto" w:line="288" w:before="180" w:after="283"/>
        <w:jc w:val="both"/>
        <w:rPr/>
      </w:pPr>
      <w:r>
        <w:rPr>
          <w:rFonts w:ascii="Times New Roman;serif" w:hAnsi="Times New Roman;serif"/>
          <w:b w:val="false"/>
          <w:color w:val="000000"/>
          <w:sz w:val="22"/>
        </w:rPr>
        <w:t xml:space="preserve">The Company will hold a conference call on April 30, 2026 at 5:00 p.m. ET to discuss these results. Interested parties may listen to the conference call and view the Company's slide presentation on the "Investor Relations" page of the Company's website, </w:t>
      </w:r>
      <w:r>
        <w:rPr>
          <w:rFonts w:ascii="Times New Roman;serif" w:hAnsi="Times New Roman;serif"/>
          <w:b/>
          <w:color w:val="006EBF"/>
          <w:sz w:val="22"/>
        </w:rPr>
        <w:t>www.beazer.com</w:t>
      </w:r>
      <w:r>
        <w:rPr>
          <w:rFonts w:ascii="Times New Roman;serif" w:hAnsi="Times New Roman;serif"/>
          <w:b w:val="false"/>
          <w:color w:val="000000"/>
          <w:sz w:val="22"/>
        </w:rPr>
        <w:t xml:space="preserve">. In addition, the conference call will be available by telephone at 800-475-0542 (for international callers, dial 630-395-0227). To be admitted to the call, enter the pass code "8571348." A replay of the conference call will be available, until 11:59 PM ET on May 15, 2026 at 866-448-5648 (for international callers, dial 203-369-1190) with pass code "3740."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Summary results for the three and six months ended March 31, 2026 and 2025 are as follows:</w:t>
      </w:r>
    </w:p>
    <w:tbl>
      <w:tblPr>
        <w:tblW w:w="10205" w:type="dxa"/>
        <w:jc w:val="left"/>
        <w:tblInd w:w="0" w:type="dxa"/>
        <w:tblLayout w:type="fixed"/>
        <w:tblCellMar>
          <w:top w:w="28" w:type="dxa"/>
          <w:left w:w="28" w:type="dxa"/>
          <w:bottom w:w="28" w:type="dxa"/>
          <w:right w:w="28" w:type="dxa"/>
        </w:tblCellMar>
      </w:tblPr>
      <w:tblGrid>
        <w:gridCol w:w="2269"/>
        <w:gridCol w:w="1968"/>
        <w:gridCol w:w="1978"/>
        <w:gridCol w:w="211"/>
        <w:gridCol w:w="631"/>
        <w:gridCol w:w="301"/>
        <w:gridCol w:w="109"/>
        <w:gridCol w:w="109"/>
        <w:gridCol w:w="109"/>
        <w:gridCol w:w="211"/>
        <w:gridCol w:w="616"/>
        <w:gridCol w:w="271"/>
        <w:gridCol w:w="109"/>
        <w:gridCol w:w="109"/>
        <w:gridCol w:w="109"/>
        <w:gridCol w:w="284"/>
        <w:gridCol w:w="285"/>
        <w:gridCol w:w="526"/>
      </w:tblGrid>
      <w:tr>
        <w:trPr/>
        <w:tc>
          <w:tcPr>
            <w:tcW w:w="226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6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home orders, net of cancellations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rates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Orders per community per month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active community count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community count at quarter-end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acquisition and land development spending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closings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from closings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bps</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impairments and abandonments (I&amp;A)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bps</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I&amp;A and interest amortized to cost of sales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bps</w:t>
            </w:r>
          </w:p>
        </w:tc>
      </w:tr>
      <w:tr>
        <w:trPr/>
        <w:tc>
          <w:tcPr>
            <w:tcW w:w="6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 as a percentage of total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bps</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(Benefit) expense from income taxes (in millions)</w:t>
            </w:r>
            <w:r>
              <w:rPr>
                <w:rFonts w:ascii="Times New Roman;serif" w:hAnsi="Times New Roman;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income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(in millions)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LTM</w:t>
            </w: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20"/>
              </w:rPr>
              <w:t>Adjusted EBITDA (in millions)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 ratio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bps</w:t>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 ratio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bps</w:t>
            </w:r>
          </w:p>
        </w:tc>
      </w:tr>
    </w:tbl>
    <w:p>
      <w:pPr>
        <w:pStyle w:val="TextBody"/>
        <w:bidi w:val="0"/>
        <w:spacing w:lineRule="auto" w:line="288" w:before="120" w:after="283"/>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 Change and totals are calculated using unrounded numbers.</w:t>
      </w:r>
    </w:p>
    <w:p>
      <w:pPr>
        <w:pStyle w:val="TextBody"/>
        <w:bidi w:val="0"/>
        <w:spacing w:lineRule="auto" w:line="288" w:before="120" w:after="283"/>
        <w:jc w:val="both"/>
        <w:rPr/>
      </w:pPr>
      <w:r>
        <w:rPr>
          <w:rFonts w:ascii="Times New Roman;serif" w:hAnsi="Times New Roman;serif"/>
          <w:b w:val="false"/>
          <w:color w:val="000000"/>
          <w:sz w:val="12"/>
        </w:rPr>
        <w:t xml:space="preserve">(a) </w:t>
      </w:r>
      <w:r>
        <w:rPr>
          <w:rFonts w:ascii="Times New Roman;serif" w:hAnsi="Times New Roman;serif"/>
          <w:b w:val="false"/>
          <w:color w:val="000000"/>
          <w:sz w:val="18"/>
        </w:rPr>
        <w:t>n/m - indicates the percentage is "not meaningful."</w:t>
      </w:r>
    </w:p>
    <w:p>
      <w:pPr>
        <w:pStyle w:val="TextBody"/>
        <w:bidi w:val="0"/>
        <w:spacing w:lineRule="auto" w:line="288" w:before="120" w:after="283"/>
        <w:ind w:left="0" w:right="0" w:hanging="180"/>
        <w:jc w:val="both"/>
        <w:rPr/>
      </w:pPr>
      <w:r>
        <w:rPr>
          <w:rFonts w:ascii="Times New Roman;serif" w:hAnsi="Times New Roman;serif"/>
          <w:b w:val="false"/>
          <w:color w:val="000000"/>
          <w:sz w:val="12"/>
        </w:rPr>
        <w:t xml:space="preserve">(b) </w:t>
      </w:r>
      <w:r>
        <w:rPr>
          <w:rFonts w:ascii="Times New Roman;serif" w:hAnsi="Times New Roman;serif"/>
          <w:b w:val="false"/>
          <w:color w:val="000000"/>
          <w:sz w:val="18"/>
        </w:rPr>
        <w:t>The Company's effective tax rate for the current fiscal quarter was impacted by a change in the approach used to calculate the interim income tax provision, reducing comparability with the prior year quarter. Refer to Note 10 to the condensed consolidated financial statements within the Company's Form 10-Q for the quarter ended March 31, 2026 for additional details.</w:t>
      </w:r>
    </w:p>
    <w:p>
      <w:pPr>
        <w:pStyle w:val="TextBody"/>
        <w:bidi w:val="0"/>
        <w:spacing w:lineRule="auto" w:line="288" w:before="120" w:after="283"/>
        <w:ind w:left="0" w:right="0" w:hanging="180"/>
        <w:jc w:val="left"/>
        <w:rPr/>
      </w:pPr>
      <w:r>
        <w:rPr>
          <w:rFonts w:ascii="Times New Roman;serif" w:hAnsi="Times New Roman;serif"/>
          <w:b w:val="false"/>
          <w:color w:val="000000"/>
          <w:sz w:val="12"/>
        </w:rPr>
        <w:t xml:space="preserve">(c) </w:t>
      </w:r>
      <w:r>
        <w:rPr>
          <w:rFonts w:ascii="Times New Roman;serif" w:hAnsi="Times New Roman;serif"/>
          <w:b w:val="false"/>
          <w:color w:val="000000"/>
          <w:sz w:val="18"/>
        </w:rPr>
        <w:t>LTM indicates amounts for the trailing 12 months.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15"/>
        <w:gridCol w:w="1921"/>
        <w:gridCol w:w="1930"/>
        <w:gridCol w:w="211"/>
        <w:gridCol w:w="631"/>
        <w:gridCol w:w="301"/>
        <w:gridCol w:w="109"/>
        <w:gridCol w:w="109"/>
        <w:gridCol w:w="109"/>
        <w:gridCol w:w="211"/>
        <w:gridCol w:w="766"/>
        <w:gridCol w:w="271"/>
        <w:gridCol w:w="109"/>
        <w:gridCol w:w="109"/>
        <w:gridCol w:w="109"/>
        <w:gridCol w:w="284"/>
        <w:gridCol w:w="284"/>
        <w:gridCol w:w="526"/>
      </w:tblGrid>
      <w:tr>
        <w:trPr/>
        <w:tc>
          <w:tcPr>
            <w:tcW w:w="2215"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home orders, net of cancellations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rates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LTM orders per community per month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acquisition and land development spending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closings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from closings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bps</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I&amp;A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bps</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I&amp;A and interest amortized to cost of sales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bps</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 as a percentage of total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bps</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(Benefit) expense from income taxes (in millions)</w:t>
            </w:r>
            <w:r>
              <w:rPr>
                <w:rFonts w:ascii="Times New Roman;serif" w:hAnsi="Times New Roman;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income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(in millions)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n/m</w:t>
            </w:r>
            <w:r>
              <w:rPr>
                <w:rFonts w:ascii="Times New Roman;serif" w:hAnsi="Times New Roman;serif"/>
                <w:b w:val="false"/>
                <w:color w:val="000000"/>
                <w:sz w:val="13"/>
              </w:rPr>
              <w:t>(a)</w:t>
            </w:r>
          </w:p>
        </w:tc>
      </w:tr>
    </w:tbl>
    <w:p>
      <w:pPr>
        <w:pStyle w:val="TextBody"/>
        <w:bidi w:val="0"/>
        <w:spacing w:lineRule="auto" w:line="288" w:before="120" w:after="283"/>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 Change and totals are calculated using unrounded numbers.</w:t>
      </w:r>
    </w:p>
    <w:p>
      <w:pPr>
        <w:pStyle w:val="TextBody"/>
        <w:bidi w:val="0"/>
        <w:spacing w:lineRule="auto" w:line="288" w:before="120" w:after="283"/>
        <w:jc w:val="both"/>
        <w:rPr/>
      </w:pPr>
      <w:r>
        <w:rPr>
          <w:rFonts w:ascii="Times New Roman;serif" w:hAnsi="Times New Roman;serif"/>
          <w:b w:val="false"/>
          <w:color w:val="000000"/>
          <w:sz w:val="12"/>
        </w:rPr>
        <w:t xml:space="preserve">(a) </w:t>
      </w:r>
      <w:r>
        <w:rPr>
          <w:rFonts w:ascii="Times New Roman;serif" w:hAnsi="Times New Roman;serif"/>
          <w:b w:val="false"/>
          <w:color w:val="000000"/>
          <w:sz w:val="18"/>
        </w:rPr>
        <w:t>n/m - indicates the percentage is "not meaningful."</w:t>
      </w:r>
    </w:p>
    <w:p>
      <w:pPr>
        <w:pStyle w:val="TextBody"/>
        <w:bidi w:val="0"/>
        <w:spacing w:lineRule="auto" w:line="288" w:before="120" w:after="283"/>
        <w:ind w:left="0" w:right="0" w:hanging="180"/>
        <w:jc w:val="both"/>
        <w:rPr/>
      </w:pPr>
      <w:r>
        <w:rPr>
          <w:rFonts w:ascii="Times New Roman;serif" w:hAnsi="Times New Roman;serif"/>
          <w:b w:val="false"/>
          <w:color w:val="000000"/>
          <w:sz w:val="12"/>
        </w:rPr>
        <w:t xml:space="preserve">(b) </w:t>
      </w:r>
      <w:r>
        <w:rPr>
          <w:rFonts w:ascii="Times New Roman;serif" w:hAnsi="Times New Roman;serif"/>
          <w:b w:val="false"/>
          <w:color w:val="000000"/>
          <w:sz w:val="18"/>
        </w:rPr>
        <w:t>The Company's effective tax rate for the six months ended March 31, 2026 was impacted by a change in the approach used to calculate the interim income tax provision, reducing comparability with the prior year period. Refer to Note 10 to the condensed consolidated financial statements within the Company's Form 10-Q for the quarter ended March 31, 2026 for additional details.</w:t>
      </w:r>
    </w:p>
    <w:p>
      <w:pPr>
        <w:pStyle w:val="TextBody"/>
        <w:bidi w:val="0"/>
        <w:spacing w:before="120" w:after="283"/>
        <w:ind w:left="0" w:right="0" w:hanging="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6635" w:type="dxa"/>
        <w:jc w:val="center"/>
        <w:tblInd w:w="0" w:type="dxa"/>
        <w:tblLayout w:type="fixed"/>
        <w:tblCellMar>
          <w:top w:w="28" w:type="dxa"/>
          <w:left w:w="28" w:type="dxa"/>
          <w:bottom w:w="28" w:type="dxa"/>
          <w:right w:w="28" w:type="dxa"/>
        </w:tblCellMar>
      </w:tblPr>
      <w:tblGrid>
        <w:gridCol w:w="1121"/>
        <w:gridCol w:w="983"/>
        <w:gridCol w:w="986"/>
        <w:gridCol w:w="211"/>
        <w:gridCol w:w="631"/>
        <w:gridCol w:w="109"/>
        <w:gridCol w:w="109"/>
        <w:gridCol w:w="109"/>
        <w:gridCol w:w="109"/>
        <w:gridCol w:w="211"/>
        <w:gridCol w:w="616"/>
        <w:gridCol w:w="109"/>
        <w:gridCol w:w="109"/>
        <w:gridCol w:w="109"/>
        <w:gridCol w:w="109"/>
        <w:gridCol w:w="293"/>
        <w:gridCol w:w="293"/>
        <w:gridCol w:w="418"/>
      </w:tblGrid>
      <w:tr>
        <w:trPr/>
        <w:tc>
          <w:tcPr>
            <w:tcW w:w="11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units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value of backlog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in backlog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lots controlled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80" w:after="283"/>
        <w:jc w:val="left"/>
        <w:rPr>
          <w:rFonts w:ascii="Times New Roman;serif" w:hAnsi="Times New Roman;serif"/>
          <w:b/>
          <w:i/>
          <w:color w:val="000000"/>
          <w:sz w:val="20"/>
        </w:rPr>
      </w:pPr>
      <w:r>
        <w:rPr>
          <w:rFonts w:ascii="Times New Roman;serif" w:hAnsi="Times New Roman;serif"/>
          <w:b/>
          <w:i/>
          <w:color w:val="000000"/>
          <w:sz w:val="20"/>
        </w:rPr>
        <w:t>About Beazer Homes</w:t>
      </w:r>
    </w:p>
    <w:p>
      <w:pPr>
        <w:pStyle w:val="TextBody"/>
        <w:bidi w:val="0"/>
        <w:spacing w:lineRule="auto" w:line="288" w:before="180" w:after="283"/>
        <w:jc w:val="both"/>
        <w:rPr/>
      </w:pPr>
      <w:r>
        <w:rPr>
          <w:rFonts w:ascii="Times New Roman;serif" w:hAnsi="Times New Roman;serif"/>
          <w:b w:val="false"/>
          <w:i/>
          <w:color w:val="000000"/>
          <w:sz w:val="20"/>
        </w:rPr>
        <w:t xml:space="preserve">Beazer Homes (NYSE: BZH), headquartered in Atlanta, Georgia, is a leading national homebuilder in energy-efficient construction. Building on a legacy spanning nine generations, Beazer crafts homes that deliver savings and lasting value. Our trusted team of experts guide homebuyers through the building and purchasing process to deliver an industry-leading customer experience. With curated design options, buyers can personalize their homes with confidence. Beazer's exclusive Mortgage Choice program provides access to competitive loan offers from multiple lenders, helping homebuyers choose the best financing for their individual needs. Beazer builds in 13 states nationwide. Learn more at </w:t>
      </w:r>
      <w:r>
        <w:rPr>
          <w:rFonts w:ascii="Times New Roman;serif" w:hAnsi="Times New Roman;serif"/>
          <w:b w:val="false"/>
          <w:i/>
          <w:color w:val="026DCE"/>
          <w:sz w:val="20"/>
        </w:rPr>
        <w:t>beazer.com</w:t>
      </w:r>
      <w:r>
        <w:rPr>
          <w:color w:val="000000"/>
        </w:rPr>
        <w:t xml:space="preserve"> </w:t>
      </w:r>
      <w:r>
        <w:rPr>
          <w:rFonts w:ascii="Times New Roman;serif" w:hAnsi="Times New Roman;serif"/>
          <w:b w:val="false"/>
          <w:i/>
          <w:color w:val="000000"/>
          <w:sz w:val="20"/>
        </w:rPr>
        <w:t>or follow us @BeazerHomes.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These forward-looking statements represent our expectations or beliefs concerning future events, and it is possible that the results described in this press release will not be achieved. These forward-looking statements are subject to risks, uncertainties and other factors, many of which are outside of our control, that could cause actual results to differ materially from the results discussed in the forward-looking statements, including, among other things: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macroeconomic uncertainty, including high levels of inflation, elevated interest rates and insurance costs, stock market volatility, enhanced and/or altered government regulation resulting from legislation and/or executive orders, and historic changes in U.S. trade policy, negatively impacting consumer sentiment and softening demand for the homes we sell;</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elevated mortgage interest rates for prolonged periods, as well as further increases to, and reduced availability of, mortgage financing;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supply chain challenges (including as a result of U.S. trade policies and retaliatory responses from other countries) negatively impacting our homebuilding production, including shortages of raw materials and other critical components such as windows, doors, and appliances;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our ability to meet or achieve our sustainability related goals, aspirations, initiatives, and our public statements and disclosures regarding them;</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rPr>
        <w:t>geopolitical disruptions, acts of war, terrorist attacks and other geopolitical developments outside the Company’s control, including the ongoing military conflicts between Russia and Ukraine and in the Middle East, which have heightened, and may continue to heighten, existing economic uncertainty and contribute to increases in mortgage rates, higher energy prices, and other adverse macroeconomic pressures;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inaccurate estimates related to homes to be delivered in the future (backlog), as they are subject to various cancellation risks that cannot be fully controlled;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factors affecting margins, such as adjustments to home pricing, increased sales incentives and mortgage rate buy down programs in order to remain competitive;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decreased revenues;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decreased land values underlying land option agreements;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 xml:space="preserve">increased land development costs in communities under development or delays or difficulties in implementing initiatives to reduce our cycle times and production and overhead cost structures;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not being able to pass on cost increases (including cost increases due to increasing the energy efficiency of our homes) through pricing increases;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the availability and cost of land and the risks associated with the future value</w:t>
      </w:r>
      <w:r>
        <w:rPr>
          <w:color w:val="000000"/>
        </w:rPr>
        <w:t xml:space="preserve"> </w:t>
      </w:r>
      <w:r>
        <w:rPr>
          <w:rFonts w:ascii="Times New Roman;serif" w:hAnsi="Times New Roman;serif"/>
          <w:b w:val="false"/>
          <w:i/>
          <w:color w:val="000000"/>
          <w:sz w:val="20"/>
        </w:rPr>
        <w:t>of our inventory, including impairments and abandonment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our ability to raise debt and/or equity capital, due to factors such as limitations in the capital markets (including market volatility), adverse credit market conditions and financial institution disruptions, and our ability to otherwise meet our ongoing liquidity needs (which could cause us to fail to meet the terms of our covenants and other requirements under our various debt instruments and therefore trigger an acceleration of a significant portion or all of our outstanding debt obligations), including the impact of any downgrades of our credit ratings or reduction in our liquidity levels;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market perceptions regarding any capital raising initiatives we may undertake (including future issuances of equity or debt capital);</w:t>
      </w:r>
    </w:p>
    <w:p>
      <w:pPr>
        <w:pStyle w:val="TextBody"/>
        <w:bidi w:val="0"/>
        <w:spacing w:lineRule="auto" w:line="288"/>
        <w:ind w:left="0" w:right="0" w:hanging="360"/>
        <w:jc w:val="both"/>
        <w:rPr/>
      </w:pPr>
      <w:r>
        <w:rPr>
          <w:color w:val="000000"/>
          <w:shd w:fill="FFFFFF" w:val="clear"/>
        </w:rPr>
        <w:t>•</w:t>
      </w:r>
      <w:r>
        <w:rPr>
          <w:rFonts w:ascii="Times New Roman;serif" w:hAnsi="Times New Roman;serif"/>
          <w:b w:val="false"/>
          <w:i/>
          <w:color w:val="000000"/>
          <w:sz w:val="20"/>
          <w:shd w:fill="FFFFFF" w:val="clear"/>
        </w:rPr>
        <w:t>inefficient or ineffective allocation of capital, including with respect to planned share repurchases;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i/>
          <w:color w:val="000000"/>
          <w:sz w:val="20"/>
          <w:shd w:fill="FFFFFF" w:val="clear"/>
        </w:rPr>
        <w:t>market conditions and other factors outside our control that adversely impact our ability to execute on our planned share repurchases or asset sales;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changes in tax laws, such as the One Big Beautiful Bill Act (OBBBA), or otherwise regarding the deductibility of mortgage interest expenses and real estate taxes, including those resulting from regulatory guidance and interpretations issued with respect thereto, such as the IRS's guidance regarding heightened qualification requirements for federal credits for building energy-efficient homes;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increased competition or delays in reacting to changing consumer preferences in home design;</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natural disasters, severe weather, or other related events that could result in delays in land development or home construction, increase our costs or decrease demand in the impacted areas;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shd w:fill="FFFFFF" w:val="clear"/>
        </w:rPr>
        <w:t>shortages of or increased costs for labor used in housing production, including as a result of federal or state legislation, and/or enforcement, and the level of quality and craftsmanship provided by such labor;</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potential recoverability of our deferred tax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potential delays or increased costs in obtaining necessary permits as a result of changes to, or complying with, laws, regulations or governmental policies, and possible penalties for failure to comply with such laws, regulations or governmental policies, including those related to the environment;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results of litigation or government proceedings and fulfillment of any related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impact of construction defect and home warranty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cost and availability of insurance and surety bonds, as well as the sufficiency of these instruments to cover potential losses incurred;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impact of information technology failures, cybersecurity issues or data security breaches, including cybersecurity incidents deploying evolving artificial intelligence tools and incidents impacting third-party service providers that we depend on to conduct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impact of governmental regulations on homebuilding in key markets, such as regulations limiting the availability of water and electricity (including availability of electrical equipment such as transformers and meters);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success of our sustainability initiatives, as well as the success of any other related partnerships or pilot programs we may enter into in order to increase the energy efficiency of our homes.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Any forward-looking statement, including any statement expressing confidence regarding future outcomes,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to predict all such factors.</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CONTACT: Beazer Homes USA, Inc.</w:t>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David I. Goldberg</w:t>
      </w:r>
    </w:p>
    <w:p>
      <w:pPr>
        <w:pStyle w:val="TextBody"/>
        <w:bidi w:val="0"/>
        <w:spacing w:lineRule="auto" w:line="288" w:before="0" w:after="0"/>
        <w:jc w:val="left"/>
        <w:rPr/>
      </w:pPr>
      <w:r>
        <w:rPr>
          <w:rFonts w:ascii="Times New Roman;serif" w:hAnsi="Times New Roman;serif"/>
          <w:b w:val="false"/>
          <w:color w:val="000000"/>
          <w:sz w:val="24"/>
        </w:rPr>
        <w:t>Sr. Vice President &amp; Chief Financial Officer</w:t>
      </w:r>
      <w:r>
        <w:rPr>
          <w:color w:val="444444"/>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770-829-3700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Mark Chekanow, CFA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917-365-0085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6EBF"/>
          <w:sz w:val="24"/>
          <w:u w:val="single"/>
        </w:rPr>
      </w:pPr>
      <w:r>
        <w:rPr>
          <w:rFonts w:ascii="Times New Roman;serif" w:hAnsi="Times New Roman;serif"/>
          <w:b/>
          <w:color w:val="006EBF"/>
          <w:sz w:val="24"/>
          <w:u w:val="single"/>
        </w:rPr>
        <w:t>investor.relations@beazer.com</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-Tables Follow-</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9419" w:type="dxa"/>
        <w:jc w:val="center"/>
        <w:tblInd w:w="0" w:type="dxa"/>
        <w:tblLayout w:type="fixed"/>
        <w:tblCellMar>
          <w:top w:w="28" w:type="dxa"/>
          <w:left w:w="28" w:type="dxa"/>
          <w:bottom w:w="28" w:type="dxa"/>
          <w:right w:w="28" w:type="dxa"/>
        </w:tblCellMar>
      </w:tblPr>
      <w:tblGrid>
        <w:gridCol w:w="1314"/>
        <w:gridCol w:w="1155"/>
        <w:gridCol w:w="1160"/>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 (except per share data)</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409,846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773,337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683,768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per share:</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3"/>
        <w:gridCol w:w="1445"/>
        <w:gridCol w:w="1455"/>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6"/>
      </w:tblGrid>
      <w:tr>
        <w:trPr/>
        <w:tc>
          <w:tcPr>
            <w:tcW w:w="166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Capitalized Interest in Inventory</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139,678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131,845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incurred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impaired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amortized to home construction and land sales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BEAZER HOMES USA,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15"/>
        <w:gridCol w:w="2101"/>
        <w:gridCol w:w="2108"/>
        <w:gridCol w:w="211"/>
        <w:gridCol w:w="991"/>
        <w:gridCol w:w="109"/>
        <w:gridCol w:w="109"/>
        <w:gridCol w:w="109"/>
        <w:gridCol w:w="109"/>
        <w:gridCol w:w="226"/>
        <w:gridCol w:w="1049"/>
        <w:gridCol w:w="168"/>
      </w:tblGrid>
      <w:tr>
        <w:trPr/>
        <w:tc>
          <w:tcPr>
            <w:tcW w:w="2915"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$266 and $266,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2,252,872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2,757,480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 of $5,762 and $6,611,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1,586,700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1,360,802 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5,000,000 shares authorized, no shares issued)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63,000,000 shares authorized, 28,331,558 issued and outstanding and 29,762,293 issued and outstanding,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780,480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1,248,906 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2,757,480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Inventory Breakdown</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under construction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819,460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under development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1,082,296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future development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Model homes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not owned under option agreements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2,252,872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BEAZER HOMES USA,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OPERATING AND FINANCIAL DATA</w:t>
      </w:r>
    </w:p>
    <w:tbl>
      <w:tblPr>
        <w:tblW w:w="8480" w:type="dxa"/>
        <w:jc w:val="center"/>
        <w:tblInd w:w="0" w:type="dxa"/>
        <w:tblLayout w:type="fixed"/>
        <w:tblCellMar>
          <w:top w:w="28" w:type="dxa"/>
          <w:left w:w="28" w:type="dxa"/>
          <w:bottom w:w="28" w:type="dxa"/>
          <w:right w:w="28" w:type="dxa"/>
        </w:tblCellMar>
      </w:tblPr>
      <w:tblGrid>
        <w:gridCol w:w="1077"/>
        <w:gridCol w:w="945"/>
        <w:gridCol w:w="948"/>
        <w:gridCol w:w="348"/>
        <w:gridCol w:w="283"/>
        <w:gridCol w:w="266"/>
        <w:gridCol w:w="266"/>
        <w:gridCol w:w="266"/>
        <w:gridCol w:w="266"/>
        <w:gridCol w:w="351"/>
        <w:gridCol w:w="266"/>
        <w:gridCol w:w="266"/>
        <w:gridCol w:w="109"/>
        <w:gridCol w:w="109"/>
        <w:gridCol w:w="109"/>
        <w:gridCol w:w="422"/>
        <w:gridCol w:w="239"/>
        <w:gridCol w:w="239"/>
        <w:gridCol w:w="239"/>
        <w:gridCol w:w="239"/>
        <w:gridCol w:w="239"/>
        <w:gridCol w:w="412"/>
        <w:gridCol w:w="239"/>
        <w:gridCol w:w="337"/>
      </w:tblGrid>
      <w:tr>
        <w:trPr/>
        <w:tc>
          <w:tcPr>
            <w:tcW w:w="107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OPERATING DATA</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Closings:</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region</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895</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region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w:t>
            </w: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region</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closings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w:t>
            </w: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1,457</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orders, net of cancellations: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region</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1,057</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region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region</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orders, net</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w:t>
            </w:r>
            <w:r>
              <w:rPr>
                <w:color w:val="000000"/>
              </w:rPr>
              <w:t>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10" w:type="dxa"/>
        <w:jc w:val="center"/>
        <w:tblInd w:w="0" w:type="dxa"/>
        <w:tblLayout w:type="fixed"/>
        <w:tblCellMar>
          <w:top w:w="28" w:type="dxa"/>
          <w:left w:w="28" w:type="dxa"/>
          <w:bottom w:w="28" w:type="dxa"/>
          <w:right w:w="28" w:type="dxa"/>
        </w:tblCellMar>
      </w:tblPr>
      <w:tblGrid>
        <w:gridCol w:w="1708"/>
        <w:gridCol w:w="1504"/>
        <w:gridCol w:w="1512"/>
        <w:gridCol w:w="109"/>
        <w:gridCol w:w="109"/>
        <w:gridCol w:w="109"/>
        <w:gridCol w:w="211"/>
        <w:gridCol w:w="631"/>
        <w:gridCol w:w="109"/>
        <w:gridCol w:w="109"/>
        <w:gridCol w:w="109"/>
        <w:gridCol w:w="109"/>
        <w:gridCol w:w="211"/>
        <w:gridCol w:w="616"/>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Backlog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dollar value of homes in backlog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in backlog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224" w:type="dxa"/>
        <w:jc w:val="center"/>
        <w:tblInd w:w="0" w:type="dxa"/>
        <w:tblLayout w:type="fixed"/>
        <w:tblCellMar>
          <w:top w:w="28" w:type="dxa"/>
          <w:left w:w="28" w:type="dxa"/>
          <w:bottom w:w="28" w:type="dxa"/>
          <w:right w:w="28" w:type="dxa"/>
        </w:tblCellMar>
      </w:tblPr>
      <w:tblGrid>
        <w:gridCol w:w="1242"/>
        <w:gridCol w:w="1092"/>
        <w:gridCol w:w="1100"/>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FINANCIAL DATA</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Homebuilding revenue: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region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231,285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region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region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122,089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homebuilding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409,846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773,337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Reconciliation of homebuilding gross profit and homebuilding gross margin (GAAP measures) to homebuilding gross profit and the related gross margin excluding impairments and abandonments and interest amortized to cost of sales (non-GAAP measures) is provided for each period discussed below. Management believes that this information assists investors in comparing the operating characteristics of homebuilding activities by eliminating many of the differences in companies' respective level of impairments and level of debt. These non-GAAP financial measures may not be comparable to other similarly titled measures of other companies and should not be considered in isolation or as a substitute for, or superior to, financial measures prepared in accordance with GAAP. </w:t>
      </w:r>
    </w:p>
    <w:tbl>
      <w:tblPr>
        <w:tblW w:w="10205" w:type="dxa"/>
        <w:jc w:val="center"/>
        <w:tblInd w:w="0" w:type="dxa"/>
        <w:tblLayout w:type="fixed"/>
        <w:tblCellMar>
          <w:top w:w="28" w:type="dxa"/>
          <w:left w:w="28" w:type="dxa"/>
          <w:bottom w:w="28" w:type="dxa"/>
          <w:right w:w="28" w:type="dxa"/>
        </w:tblCellMar>
      </w:tblPr>
      <w:tblGrid>
        <w:gridCol w:w="524"/>
        <w:gridCol w:w="461"/>
        <w:gridCol w:w="465"/>
        <w:gridCol w:w="211"/>
        <w:gridCol w:w="736"/>
        <w:gridCol w:w="109"/>
        <w:gridCol w:w="263"/>
        <w:gridCol w:w="263"/>
        <w:gridCol w:w="301"/>
        <w:gridCol w:w="109"/>
        <w:gridCol w:w="109"/>
        <w:gridCol w:w="109"/>
        <w:gridCol w:w="211"/>
        <w:gridCol w:w="826"/>
        <w:gridCol w:w="109"/>
        <w:gridCol w:w="255"/>
        <w:gridCol w:w="256"/>
        <w:gridCol w:w="271"/>
        <w:gridCol w:w="109"/>
        <w:gridCol w:w="109"/>
        <w:gridCol w:w="109"/>
        <w:gridCol w:w="211"/>
        <w:gridCol w:w="841"/>
        <w:gridCol w:w="109"/>
        <w:gridCol w:w="263"/>
        <w:gridCol w:w="263"/>
        <w:gridCol w:w="301"/>
        <w:gridCol w:w="109"/>
        <w:gridCol w:w="109"/>
        <w:gridCol w:w="109"/>
        <w:gridCol w:w="211"/>
        <w:gridCol w:w="826"/>
        <w:gridCol w:w="109"/>
        <w:gridCol w:w="255"/>
        <w:gridCol w:w="256"/>
        <w:gridCol w:w="318"/>
      </w:tblGrid>
      <w:tr>
        <w:trPr/>
        <w:tc>
          <w:tcPr>
            <w:tcW w:w="5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8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profit/margin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impairments and abandonments (I&amp;A)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profit/margin excluding I&amp;A (Non-GAAP)</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amortized to cost of sales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profit/margin excluding I&amp;A and interest amortized to cost of sales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62,021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112,516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4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Reconciliation of Net (Loss) Income (GAAP measure) to Adjusted EBITDA (Non-GAAP measure) is provided for each period discussed below. Management believes that Adjusted EBITDA assists investors in understanding and comparing core operating results and underlying business trends by eliminating many of the differences in companies' respective capitalization, tax position, level of impairments, and other non-recurring items. This non-GAAP financial measure may not be comparable to other similarly titled measures of other companies and should not be considered in isolation or as a substitute for, or superior to, financial measures prepared in accordance with GAAP.</w:t>
      </w:r>
    </w:p>
    <w:tbl>
      <w:tblPr>
        <w:tblW w:w="10205" w:type="dxa"/>
        <w:jc w:val="left"/>
        <w:tblInd w:w="0" w:type="dxa"/>
        <w:tblLayout w:type="fixed"/>
        <w:tblCellMar>
          <w:top w:w="28" w:type="dxa"/>
          <w:left w:w="28" w:type="dxa"/>
          <w:bottom w:w="28" w:type="dxa"/>
          <w:right w:w="28" w:type="dxa"/>
        </w:tblCellMar>
      </w:tblPr>
      <w:tblGrid>
        <w:gridCol w:w="1027"/>
        <w:gridCol w:w="486"/>
        <w:gridCol w:w="488"/>
        <w:gridCol w:w="211"/>
        <w:gridCol w:w="633"/>
        <w:gridCol w:w="109"/>
        <w:gridCol w:w="109"/>
        <w:gridCol w:w="109"/>
        <w:gridCol w:w="109"/>
        <w:gridCol w:w="211"/>
        <w:gridCol w:w="723"/>
        <w:gridCol w:w="109"/>
        <w:gridCol w:w="109"/>
        <w:gridCol w:w="109"/>
        <w:gridCol w:w="109"/>
        <w:gridCol w:w="211"/>
        <w:gridCol w:w="741"/>
        <w:gridCol w:w="109"/>
        <w:gridCol w:w="109"/>
        <w:gridCol w:w="109"/>
        <w:gridCol w:w="109"/>
        <w:gridCol w:w="211"/>
        <w:gridCol w:w="721"/>
        <w:gridCol w:w="109"/>
        <w:gridCol w:w="109"/>
        <w:gridCol w:w="109"/>
        <w:gridCol w:w="109"/>
        <w:gridCol w:w="211"/>
        <w:gridCol w:w="736"/>
        <w:gridCol w:w="109"/>
        <w:gridCol w:w="109"/>
        <w:gridCol w:w="109"/>
        <w:gridCol w:w="109"/>
        <w:gridCol w:w="211"/>
        <w:gridCol w:w="826"/>
        <w:gridCol w:w="109"/>
        <w:gridCol w:w="109"/>
        <w:gridCol w:w="160"/>
      </w:tblGrid>
      <w:tr>
        <w:trPr/>
        <w:tc>
          <w:tcPr>
            <w:tcW w:w="102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LTM Ended March 31,</w:t>
            </w:r>
            <w:r>
              <w:rPr>
                <w:rFonts w:ascii="Times New Roman;serif" w:hAnsi="Times New Roman;serif"/>
                <w:b/>
                <w:color w:val="000000"/>
                <w:sz w:val="10"/>
              </w:rPr>
              <w:t>(a)</w:t>
            </w:r>
          </w:p>
        </w:tc>
        <w:tc>
          <w:tcPr>
            <w:tcW w:w="269" w:type="dxa"/>
            <w:gridSpan w:val="2"/>
            <w:tcBorders/>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amortized to home construction and land sales expenses and capitalized interest impaired</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 (Non-GAAP)</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46,929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(Non-GAAP)</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Inventory impairments and abandonments</w:t>
            </w:r>
            <w:r>
              <w:rPr>
                <w:rFonts w:ascii="Times New Roman;serif" w:hAnsi="Times New Roman;serif"/>
                <w:b w:val="false"/>
                <w:color w:val="000000"/>
                <w:sz w:val="13"/>
              </w:rPr>
              <w:t>(b)</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"LTM" indicates amounts for the trailing 12 months.</w:t>
      </w:r>
    </w:p>
    <w:p>
      <w:pPr>
        <w:pStyle w:val="TextBody"/>
        <w:bidi w:val="0"/>
        <w:spacing w:lineRule="auto" w:line="288" w:before="120" w:after="283"/>
        <w:ind w:left="0" w:right="0" w:hanging="18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In periods during which we impaired certain of our inventory assets, capitalized interest that is impaired is included in the line above titled "Interest amortized to home construction and land sales expenses and capitalized interest impaired."</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Reconciliation of total debt to total capitalization ratio (GAAP measure) to net debt to net capitalization ratio (non-GAAP measure) is provided for each period below. Management believes that net debt to net capitalization ratio is useful in understanding the leverage employed in our operations and as an indicator of our ability to obtain financing. This non-GAAP financial measure may not be comparable to other similarly titled measures of other companies and should not be considered in isolation or as a substitute for, or superior to, financial measures prepared in accordance with GAAP.</w:t>
      </w:r>
    </w:p>
    <w:tbl>
      <w:tblPr>
        <w:tblW w:w="7691" w:type="dxa"/>
        <w:jc w:val="left"/>
        <w:tblInd w:w="0" w:type="dxa"/>
        <w:tblLayout w:type="fixed"/>
        <w:tblCellMar>
          <w:top w:w="28" w:type="dxa"/>
          <w:left w:w="28" w:type="dxa"/>
          <w:bottom w:w="28" w:type="dxa"/>
          <w:right w:w="28" w:type="dxa"/>
        </w:tblCellMar>
      </w:tblPr>
      <w:tblGrid>
        <w:gridCol w:w="1445"/>
        <w:gridCol w:w="1270"/>
        <w:gridCol w:w="1275"/>
        <w:gridCol w:w="235"/>
        <w:gridCol w:w="1108"/>
        <w:gridCol w:w="336"/>
        <w:gridCol w:w="109"/>
        <w:gridCol w:w="109"/>
        <w:gridCol w:w="109"/>
        <w:gridCol w:w="238"/>
        <w:gridCol w:w="1101"/>
        <w:gridCol w:w="35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March 31,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1,225,996</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1,082,231 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1,228,067 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(GAAP)</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2,396,776</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2,310,298 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 ratio (GAAP)</w:t>
            </w:r>
          </w:p>
        </w:tc>
        <w:tc>
          <w:tcPr>
            <w:tcW w:w="13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w:t>
            </w:r>
            <w:r>
              <w:rPr>
                <w:color w:val="000000"/>
              </w:rPr>
              <w:t>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1,225,996</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1,082,231 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(GAAP)</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116,440</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(Non-GAAP)</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1,109,556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997,149 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1,228,067 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capitalization (Non-GAAP)</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2,280,336</w:t>
            </w: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2,225,216 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 ratio (Non-GAAP)</w:t>
            </w:r>
          </w:p>
        </w:tc>
        <w:tc>
          <w:tcPr>
            <w:tcW w:w="13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48.7</w:t>
            </w:r>
            <w:r>
              <w:rPr>
                <w:color w:val="000000"/>
              </w:rPr>
              <w:t> </w:t>
            </w:r>
          </w:p>
        </w:tc>
        <w:tc>
          <w:tcPr>
            <w:tcW w:w="3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283"/>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5153</Words>
  <Characters>28629</Characters>
  <CharactersWithSpaces>33161</CharactersWithSpaces>
  <Paragraphs>1073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