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BEAZER HOMES USA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DONALD SMITH &amp; CO.,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2,857,648.00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2,942,348.00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2,986,562.00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DSCO Value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28,264.00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28,264.00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2,986,562.00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Jon Hartsel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9,700.00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9,700.00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2,986,562.00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Piermont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6,250.00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6,250.00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2,986,562.00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7016" w:orient="portrait"/>
          <w:cols w:equalWidth="0" w:num="2">
            <w:col w:w="1060" w:space="60"/>
            <w:col w:w="9520"/>
          </w:cols>
          <w:pgMar w:left="360" w:top="112"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7016" w:orient="portrait"/>
          <w:cols w:equalWidth="0" w:num="1">
            <w:col w:w="10640"/>
          </w:cols>
          <w:pgMar w:left="360" w:top="112" w:right="89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BEAZER HOMES USA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2002 SUMMIT BLVD NE, 15TH FLOOR, ATLANTA, GEORGIA, 30319.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Donald Smith &amp; Co.,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 West 57th Street, 29th Floor New York, NY 10019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6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7016" w:orient="portrait"/>
          <w:cols w:equalWidth="0" w:num="2">
            <w:col w:w="620" w:space="300"/>
            <w:col w:w="9720"/>
          </w:cols>
          <w:pgMar w:left="360" w:top="112" w:right="89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2,986,562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10.44%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SOLE POWER TO VOTE: Donald Smith &amp; Co., Inc. 2,857,648 DSCO Value Fund, L.P. 28,264 Jon Harsel 9,700 John Piermont 6,250</w:t>
      </w:r>
    </w:p>
    <w:p>
      <w:pPr>
        <w:spacing w:after="0" w:line="239"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6</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SOLE POWER TO DISPOSE: Donald Smith &amp; Co., Inc. 2,942,348 DSCO Value Fund, L.P. 28,264 Jon Harsel 9,700 John Piermont 6,250</w:t>
      </w:r>
    </w:p>
    <w:p>
      <w:pPr>
        <w:spacing w:after="0" w:line="239"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6</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firstLine="6"/>
        <w:spacing w:after="0" w:line="233" w:lineRule="auto"/>
        <w:tabs>
          <w:tab w:leader="none" w:pos="21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Donald Smith &amp; Co., Inc.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institutional clients which Donald Smith &amp; Co., Inc. serves as investment advisor. Any and all discretionary authority which has been delegated to Donald Smith &amp; Co., Inc. may be revoked in whole or in part at any time. To the knowledge of Donald Smith &amp; Co., Inc., with respect to all securities reported in this schedule owned by advisory clients of Donald Smith &amp; Co., Inc., not more than 5% of the class of such securities is owned by any one client. 2. With respect to the remaining securities owned, various persons have the right to receive or the power to direct the receipt of dividends from, or the proceeds from the sale of, the Common Stock of Beazer Homes USA Inc. No one person?s interest in the Common Stock of Beazer Homes USA Inc. is more than five percent of the total outstanding Common Stock.</w:t>
      </w:r>
    </w:p>
    <w:p>
      <w:pPr>
        <w:spacing w:after="0" w:line="2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w:t>
      </w:r>
    </w:p>
    <w:p>
      <w:pPr>
        <w:sectPr>
          <w:pgSz w:w="11900" w:h="16838" w:orient="portrait"/>
          <w:cols w:equalWidth="0" w:num="2">
            <w:col w:w="620" w:space="300"/>
            <w:col w:w="10220"/>
          </w:cols>
          <w:pgMar w:left="360" w:top="180" w:right="399" w:bottom="0" w:gutter="0" w:footer="0" w:header="0"/>
          <w:type w:val="continuous"/>
        </w:sectPr>
      </w:pPr>
    </w:p>
    <w:bookmarkStart w:id="5" w:name="page6"/>
    <w:bookmarkEnd w:id="5"/>
    <w:p>
      <w:pPr>
        <w:ind w:left="920" w:right="20"/>
        <w:spacing w:after="0" w:line="259" w:lineRule="auto"/>
        <w:rPr>
          <w:sz w:val="20"/>
          <w:szCs w:val="20"/>
          <w:color w:val="auto"/>
        </w:rPr>
      </w:pPr>
      <w:r>
        <w:rPr>
          <w:rFonts w:ascii="Times New Roman" w:cs="Times New Roman" w:eastAsia="Times New Roman" w:hAnsi="Times New Roman"/>
          <w:sz w:val="22"/>
          <w:szCs w:val="22"/>
          <w:color w:val="auto"/>
        </w:rPr>
        <w:t>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27" w:lineRule="exact"/>
        <w:rPr>
          <w:sz w:val="20"/>
          <w:szCs w:val="20"/>
          <w:color w:val="auto"/>
        </w:rPr>
      </w:pPr>
    </w:p>
    <w:p>
      <w:pPr>
        <w:ind w:right="2360" w:firstLine="918"/>
        <w:spacing w:after="0" w:line="281" w:lineRule="auto"/>
        <w:rPr>
          <w:sz w:val="20"/>
          <w:szCs w:val="20"/>
          <w:color w:val="auto"/>
        </w:rPr>
      </w:pPr>
      <w:r>
        <w:rPr>
          <w:rFonts w:ascii="Times New Roman" w:cs="Times New Roman" w:eastAsia="Times New Roman" w:hAnsi="Times New Roman"/>
          <w:sz w:val="22"/>
          <w:szCs w:val="22"/>
          <w:color w:val="auto"/>
        </w:rPr>
        <w:t>Donald Smith &amp; Co., Inc. IA DSCO Value Fund, L.P. PN Jon Hartsel IN John Piermont IN Item 9. Notice of Dissolution of Group.</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DONALD SMITH &amp; CO., INC.</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L. Greenberg</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CEO and Co-CIO</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DSCO Value Fund, L.P.</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L. Greenberg</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CEO and Co-CIO</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Jon Hartsel</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L. Greenberg</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CEO and Co-CIO</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John Piermont</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L. Greenberg</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CEO and Co-CIO</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2"/>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1)"/>
      <w:numFmt w:val="lowerLetter"/>
      <w:start w:val="6"/>
    </w:lvl>
  </w:abstractNum>
  <w:abstractNum w:abstractNumId="5">
    <w:nsid w:val="7545E146"/>
    <w:multiLevelType w:val="hybridMultilevel"/>
    <w:lvl w:ilvl="0">
      <w:lvlJc w:val="left"/>
      <w:lvlText w:val="(%1)"/>
      <w:numFmt w:val="lowerLetter"/>
      <w:start w:val="1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Roman"/>
      <w:start w:val="2"/>
    </w:lvl>
  </w:abstractNum>
  <w:abstractNum w:abstractNumId="8">
    <w:nsid w:val="12200854"/>
    <w:multiLevelType w:val="hybridMultilevel"/>
    <w:lvl w:ilvl="0">
      <w:lvlJc w:val="left"/>
      <w:lvlText w:val="(%1)"/>
      <w:numFmt w:val="lowerRoman"/>
      <w:start w:val="4"/>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2026-05-13T14:26:59Z</dcterms:created>
  <dcterms:modified xsi:type="dcterms:W3CDTF">2026-05-13T14:26:59Z</dcterms:modified>
</cp:coreProperties>
</file>