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2940"/>
        <w:spacing w:after="0"/>
        <w:rPr>
          <w:sz w:val="20"/>
          <w:szCs w:val="20"/>
          <w:color w:val="auto"/>
        </w:rPr>
      </w:pPr>
      <w:r>
        <w:rPr>
          <w:rFonts w:ascii="Arial" w:cs="Arial" w:eastAsia="Arial" w:hAnsi="Arial"/>
          <w:sz w:val="18"/>
          <w:szCs w:val="18"/>
          <w:color w:val="auto"/>
        </w:rPr>
        <w:t>_____________________________________________________________</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ind w:left="2940"/>
        <w:spacing w:after="0"/>
        <w:rPr>
          <w:sz w:val="20"/>
          <w:szCs w:val="20"/>
          <w:color w:val="auto"/>
        </w:rPr>
      </w:pPr>
      <w:r>
        <w:rPr>
          <w:rFonts w:ascii="Arial" w:cs="Arial" w:eastAsia="Arial" w:hAnsi="Arial"/>
          <w:sz w:val="18"/>
          <w:szCs w:val="18"/>
          <w:color w:val="auto"/>
        </w:rPr>
        <w:t>_____________________________________________________________</w:t>
      </w:r>
    </w:p>
    <w:p>
      <w:pPr>
        <w:spacing w:after="0" w:line="200" w:lineRule="exact"/>
        <w:rPr>
          <w:sz w:val="24"/>
          <w:szCs w:val="24"/>
          <w:color w:val="auto"/>
        </w:rPr>
      </w:pPr>
    </w:p>
    <w:p>
      <w:pPr>
        <w:spacing w:after="0" w:line="226" w:lineRule="exact"/>
        <w:rPr>
          <w:sz w:val="24"/>
          <w:szCs w:val="24"/>
          <w:color w:val="auto"/>
        </w:rPr>
      </w:pPr>
    </w:p>
    <w:p>
      <w:pPr>
        <w:ind w:left="500" w:right="34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1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333" w:lineRule="exact"/>
        <w:rPr>
          <w:sz w:val="24"/>
          <w:szCs w:val="24"/>
          <w:color w:val="auto"/>
        </w:rPr>
      </w:pPr>
    </w:p>
    <w:p>
      <w:pPr>
        <w:ind w:left="500" w:right="320" w:hanging="465"/>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1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001-12822</w:t>
      </w:r>
    </w:p>
    <w:p>
      <w:pPr>
        <w:spacing w:after="0" w:line="27" w:lineRule="exact"/>
        <w:rPr>
          <w:sz w:val="24"/>
          <w:szCs w:val="24"/>
          <w:color w:val="auto"/>
        </w:rPr>
      </w:pPr>
    </w:p>
    <w:p>
      <w:pPr>
        <w:ind w:left="2940"/>
        <w:spacing w:after="0"/>
        <w:rPr>
          <w:sz w:val="20"/>
          <w:szCs w:val="20"/>
          <w:color w:val="auto"/>
        </w:rPr>
      </w:pPr>
      <w:r>
        <w:rPr>
          <w:rFonts w:ascii="Arial" w:cs="Arial" w:eastAsia="Arial" w:hAnsi="Arial"/>
          <w:sz w:val="18"/>
          <w:szCs w:val="18"/>
          <w:color w:val="auto"/>
        </w:rPr>
        <w:t>_____________________________________________________________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BEAZER HOMES USA, INC.</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2960"/>
        <w:spacing w:after="0"/>
        <w:rPr>
          <w:sz w:val="20"/>
          <w:szCs w:val="20"/>
          <w:color w:val="auto"/>
        </w:rPr>
      </w:pPr>
      <w:r>
        <w:rPr>
          <w:rFonts w:ascii="Arial" w:cs="Arial" w:eastAsia="Arial" w:hAnsi="Arial"/>
          <w:sz w:val="18"/>
          <w:szCs w:val="18"/>
          <w:color w:val="auto"/>
        </w:rPr>
        <w:t>_____________________________________________________________</w:t>
      </w:r>
    </w:p>
    <w:p>
      <w:pPr>
        <w:spacing w:after="0" w:line="167" w:lineRule="exact"/>
        <w:rPr>
          <w:sz w:val="24"/>
          <w:szCs w:val="24"/>
          <w:color w:val="auto"/>
        </w:rPr>
      </w:pPr>
    </w:p>
    <w:tbl>
      <w:tblPr>
        <w:tblLayout w:type="fixed"/>
        <w:tblInd w:w="1480" w:type="dxa"/>
        <w:tblCellMar>
          <w:top w:w="0" w:type="dxa"/>
          <w:left w:w="0" w:type="dxa"/>
          <w:bottom w:w="0" w:type="dxa"/>
          <w:right w:w="0" w:type="dxa"/>
        </w:tblCellMar>
      </w:tblPr>
      <w:tr>
        <w:trPr>
          <w:trHeight w:val="234"/>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5180" w:type="dxa"/>
            <w:vAlign w:val="bottom"/>
          </w:tcPr>
          <w:p>
            <w:pPr>
              <w:jc w:val="right"/>
              <w:ind w:right="40"/>
              <w:spacing w:after="0"/>
              <w:rPr>
                <w:sz w:val="20"/>
                <w:szCs w:val="20"/>
                <w:color w:val="auto"/>
              </w:rPr>
            </w:pPr>
            <w:r>
              <w:rPr>
                <w:rFonts w:ascii="Arial" w:cs="Arial" w:eastAsia="Arial" w:hAnsi="Arial"/>
                <w:sz w:val="18"/>
                <w:szCs w:val="18"/>
                <w:b w:val="1"/>
                <w:bCs w:val="1"/>
                <w:color w:val="auto"/>
              </w:rPr>
              <w:t>58-2086934</w:t>
            </w:r>
          </w:p>
        </w:tc>
      </w:tr>
      <w:tr>
        <w:trPr>
          <w:trHeight w:val="180"/>
        </w:trPr>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180" w:type="dxa"/>
            <w:vAlign w:val="bottom"/>
          </w:tcPr>
          <w:p>
            <w:pPr>
              <w:jc w:val="center"/>
              <w:ind w:left="3980"/>
              <w:spacing w:after="0"/>
              <w:rPr>
                <w:sz w:val="20"/>
                <w:szCs w:val="20"/>
                <w:color w:val="auto"/>
              </w:rPr>
            </w:pPr>
            <w:r>
              <w:rPr>
                <w:rFonts w:ascii="Arial" w:cs="Arial" w:eastAsia="Arial" w:hAnsi="Arial"/>
                <w:sz w:val="14"/>
                <w:szCs w:val="14"/>
                <w:b w:val="1"/>
                <w:bCs w:val="1"/>
                <w:color w:val="auto"/>
                <w:w w:val="94"/>
              </w:rPr>
              <w:t>(I.R.S. employer</w:t>
            </w:r>
          </w:p>
        </w:tc>
      </w:tr>
      <w:tr>
        <w:trPr>
          <w:trHeight w:val="186"/>
        </w:trPr>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80" w:type="dxa"/>
            <w:vAlign w:val="bottom"/>
          </w:tcPr>
          <w:p>
            <w:pPr>
              <w:jc w:val="center"/>
              <w:ind w:left="4000"/>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1"/>
              </w:rPr>
              <w:t>1000 Abernathy Road, Suite 260,</w:t>
            </w:r>
          </w:p>
        </w:tc>
        <w:tc>
          <w:tcPr>
            <w:tcW w:w="5180" w:type="dxa"/>
            <w:vAlign w:val="bottom"/>
          </w:tcPr>
          <w:p>
            <w:pPr>
              <w:spacing w:after="0"/>
              <w:rPr>
                <w:sz w:val="24"/>
                <w:szCs w:val="24"/>
                <w:color w:val="auto"/>
              </w:rPr>
            </w:pPr>
          </w:p>
        </w:tc>
      </w:tr>
      <w:tr>
        <w:trPr>
          <w:trHeight w:val="234"/>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3"/>
              </w:rPr>
              <w:t>Atlanta, Georgia</w:t>
            </w:r>
          </w:p>
        </w:tc>
        <w:tc>
          <w:tcPr>
            <w:tcW w:w="5180" w:type="dxa"/>
            <w:vAlign w:val="bottom"/>
          </w:tcPr>
          <w:p>
            <w:pPr>
              <w:jc w:val="right"/>
              <w:ind w:right="240"/>
              <w:spacing w:after="0"/>
              <w:rPr>
                <w:sz w:val="20"/>
                <w:szCs w:val="20"/>
                <w:color w:val="auto"/>
              </w:rPr>
            </w:pPr>
            <w:r>
              <w:rPr>
                <w:rFonts w:ascii="Arial" w:cs="Arial" w:eastAsia="Arial" w:hAnsi="Arial"/>
                <w:sz w:val="18"/>
                <w:szCs w:val="18"/>
                <w:b w:val="1"/>
                <w:bCs w:val="1"/>
                <w:color w:val="auto"/>
              </w:rPr>
              <w:t>30328</w:t>
            </w:r>
          </w:p>
        </w:tc>
      </w:tr>
      <w:tr>
        <w:trPr>
          <w:trHeight w:val="218"/>
        </w:trPr>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80" w:type="dxa"/>
            <w:vAlign w:val="bottom"/>
          </w:tcPr>
          <w:p>
            <w:pPr>
              <w:jc w:val="center"/>
              <w:ind w:left="4000"/>
              <w:spacing w:after="0"/>
              <w:rPr>
                <w:sz w:val="20"/>
                <w:szCs w:val="20"/>
                <w:color w:val="auto"/>
              </w:rPr>
            </w:pPr>
            <w:r>
              <w:rPr>
                <w:rFonts w:ascii="Arial" w:cs="Arial" w:eastAsia="Arial" w:hAnsi="Arial"/>
                <w:sz w:val="14"/>
                <w:szCs w:val="14"/>
                <w:b w:val="1"/>
                <w:bCs w:val="1"/>
                <w:color w:val="auto"/>
                <w:w w:val="95"/>
              </w:rPr>
              <w:t>(Zip Code)</w:t>
            </w:r>
          </w:p>
        </w:tc>
      </w:tr>
      <w:tr>
        <w:trPr>
          <w:trHeight w:val="421"/>
        </w:trPr>
        <w:tc>
          <w:tcPr>
            <w:tcW w:w="2580" w:type="dxa"/>
            <w:vAlign w:val="bottom"/>
          </w:tcPr>
          <w:p>
            <w:pPr>
              <w:spacing w:after="0"/>
              <w:rPr>
                <w:sz w:val="24"/>
                <w:szCs w:val="24"/>
                <w:color w:val="auto"/>
              </w:rPr>
            </w:pPr>
          </w:p>
        </w:tc>
        <w:tc>
          <w:tcPr>
            <w:tcW w:w="5180" w:type="dxa"/>
            <w:vAlign w:val="bottom"/>
          </w:tcPr>
          <w:p>
            <w:pPr>
              <w:jc w:val="right"/>
              <w:ind w:right="2880"/>
              <w:spacing w:after="0"/>
              <w:rPr>
                <w:sz w:val="20"/>
                <w:szCs w:val="20"/>
                <w:color w:val="auto"/>
              </w:rPr>
            </w:pPr>
            <w:r>
              <w:rPr>
                <w:rFonts w:ascii="Arial" w:cs="Arial" w:eastAsia="Arial" w:hAnsi="Arial"/>
                <w:sz w:val="18"/>
                <w:szCs w:val="18"/>
                <w:b w:val="1"/>
                <w:bCs w:val="1"/>
                <w:color w:val="auto"/>
              </w:rPr>
              <w:t>(770) 829-3700</w:t>
            </w:r>
          </w:p>
        </w:tc>
      </w:tr>
      <w:tr>
        <w:trPr>
          <w:trHeight w:val="186"/>
        </w:trPr>
        <w:tc>
          <w:tcPr>
            <w:tcW w:w="2580" w:type="dxa"/>
            <w:vAlign w:val="bottom"/>
          </w:tcPr>
          <w:p>
            <w:pPr>
              <w:spacing w:after="0"/>
              <w:rPr>
                <w:sz w:val="16"/>
                <w:szCs w:val="16"/>
                <w:color w:val="auto"/>
              </w:rPr>
            </w:pPr>
          </w:p>
        </w:tc>
        <w:tc>
          <w:tcPr>
            <w:tcW w:w="5180" w:type="dxa"/>
            <w:vAlign w:val="bottom"/>
          </w:tcPr>
          <w:p>
            <w:pPr>
              <w:jc w:val="center"/>
              <w:ind w:right="18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ind w:left="3000"/>
        <w:spacing w:after="0"/>
        <w:rPr>
          <w:sz w:val="20"/>
          <w:szCs w:val="20"/>
          <w:color w:val="auto"/>
        </w:rPr>
      </w:pPr>
      <w:r>
        <w:rPr>
          <w:rFonts w:ascii="Arial" w:cs="Arial" w:eastAsia="Arial" w:hAnsi="Arial"/>
          <w:sz w:val="18"/>
          <w:szCs w:val="18"/>
          <w:color w:val="auto"/>
        </w:rPr>
        <w:t>_____________________________________________________________</w:t>
      </w:r>
    </w:p>
    <w:p>
      <w:pPr>
        <w:spacing w:after="0" w:line="74" w:lineRule="exact"/>
        <w:rPr>
          <w:sz w:val="24"/>
          <w:szCs w:val="24"/>
          <w:color w:val="auto"/>
        </w:rPr>
      </w:pPr>
    </w:p>
    <w:p>
      <w:pPr>
        <w:jc w:val="both"/>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Sections 13 or 15(d) of the Securities Exchange Act of 1934 during the preceding twelve months (or for such shorter period that the registrant was required to file such reports), and (2) has been subject to the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4680" w:type="dxa"/>
            <w:vAlign w:val="bottom"/>
            <w:gridSpan w:val="3"/>
          </w:tcPr>
          <w:p>
            <w:pPr>
              <w:ind w:left="40"/>
              <w:spacing w:after="0"/>
              <w:rPr>
                <w:sz w:val="20"/>
                <w:szCs w:val="20"/>
                <w:color w:val="auto"/>
              </w:rPr>
            </w:pPr>
            <w:r>
              <w:rPr>
                <w:rFonts w:ascii="Arial" w:cs="Arial" w:eastAsia="Arial" w:hAnsi="Arial"/>
                <w:sz w:val="18"/>
                <w:szCs w:val="18"/>
                <w:color w:val="auto"/>
              </w:rPr>
              <w:t>Large accelerated filer</w:t>
            </w:r>
          </w:p>
        </w:tc>
        <w:tc>
          <w:tcPr>
            <w:tcW w:w="98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2560" w:type="dxa"/>
            <w:vAlign w:val="bottom"/>
            <w:gridSpan w:val="2"/>
          </w:tcPr>
          <w:p>
            <w:pPr>
              <w:ind w:left="80"/>
              <w:spacing w:after="0"/>
              <w:rPr>
                <w:sz w:val="20"/>
                <w:szCs w:val="20"/>
                <w:color w:val="auto"/>
              </w:rPr>
            </w:pPr>
            <w:r>
              <w:rPr>
                <w:rFonts w:ascii="Arial" w:cs="Arial" w:eastAsia="Arial" w:hAnsi="Arial"/>
                <w:sz w:val="18"/>
                <w:szCs w:val="18"/>
                <w:color w:val="auto"/>
              </w:rPr>
              <w:t>Accelerated filer</w:t>
            </w:r>
          </w:p>
        </w:tc>
        <w:tc>
          <w:tcPr>
            <w:tcW w:w="1340" w:type="dxa"/>
            <w:vAlign w:val="bottom"/>
          </w:tcPr>
          <w:p>
            <w:pPr>
              <w:spacing w:after="0"/>
              <w:rPr>
                <w:sz w:val="24"/>
                <w:szCs w:val="24"/>
                <w:color w:val="auto"/>
              </w:rPr>
            </w:pPr>
          </w:p>
        </w:tc>
        <w:tc>
          <w:tcPr>
            <w:tcW w:w="1720" w:type="dxa"/>
            <w:vAlign w:val="bottom"/>
          </w:tcPr>
          <w:p>
            <w:pPr>
              <w:ind w:left="1540"/>
              <w:spacing w:after="0"/>
              <w:rPr>
                <w:sz w:val="20"/>
                <w:szCs w:val="20"/>
                <w:color w:val="auto"/>
              </w:rPr>
            </w:pPr>
            <w:r>
              <w:rPr>
                <w:rFonts w:ascii="Arial" w:cs="Arial" w:eastAsia="Arial" w:hAnsi="Arial"/>
                <w:sz w:val="18"/>
                <w:szCs w:val="18"/>
                <w:color w:val="auto"/>
              </w:rPr>
              <w:t>x</w:t>
            </w:r>
          </w:p>
        </w:tc>
      </w:tr>
      <w:tr>
        <w:trPr>
          <w:trHeight w:val="392"/>
        </w:trPr>
        <w:tc>
          <w:tcPr>
            <w:tcW w:w="4680" w:type="dxa"/>
            <w:vAlign w:val="bottom"/>
            <w:gridSpan w:val="3"/>
          </w:tcPr>
          <w:p>
            <w:pPr>
              <w:ind w:left="40"/>
              <w:spacing w:after="0"/>
              <w:rPr>
                <w:sz w:val="20"/>
                <w:szCs w:val="20"/>
                <w:color w:val="auto"/>
              </w:rPr>
            </w:pPr>
            <w:r>
              <w:rPr>
                <w:rFonts w:ascii="Arial" w:cs="Arial" w:eastAsia="Arial" w:hAnsi="Arial"/>
                <w:sz w:val="18"/>
                <w:szCs w:val="18"/>
                <w:color w:val="auto"/>
              </w:rPr>
              <w:t>Non-accelerated filer</w:t>
            </w:r>
          </w:p>
        </w:tc>
        <w:tc>
          <w:tcPr>
            <w:tcW w:w="98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2560" w:type="dxa"/>
            <w:vAlign w:val="bottom"/>
            <w:gridSpan w:val="2"/>
          </w:tcPr>
          <w:p>
            <w:pPr>
              <w:ind w:left="80"/>
              <w:spacing w:after="0"/>
              <w:rPr>
                <w:sz w:val="20"/>
                <w:szCs w:val="20"/>
                <w:color w:val="auto"/>
              </w:rPr>
            </w:pPr>
            <w:r>
              <w:rPr>
                <w:rFonts w:ascii="Arial" w:cs="Arial" w:eastAsia="Arial" w:hAnsi="Arial"/>
                <w:sz w:val="18"/>
                <w:szCs w:val="18"/>
                <w:color w:val="auto"/>
              </w:rPr>
              <w:t>Smaller reporting company</w:t>
            </w:r>
          </w:p>
        </w:tc>
        <w:tc>
          <w:tcPr>
            <w:tcW w:w="1340" w:type="dxa"/>
            <w:vAlign w:val="bottom"/>
          </w:tcPr>
          <w:p>
            <w:pPr>
              <w:spacing w:after="0"/>
              <w:rPr>
                <w:sz w:val="24"/>
                <w:szCs w:val="24"/>
                <w:color w:val="auto"/>
              </w:rPr>
            </w:pPr>
          </w:p>
        </w:tc>
        <w:tc>
          <w:tcPr>
            <w:tcW w:w="172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97"/>
        </w:trPr>
        <w:tc>
          <w:tcPr>
            <w:tcW w:w="8220" w:type="dxa"/>
            <w:vAlign w:val="bottom"/>
            <w:gridSpan w:val="6"/>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3060" w:type="dxa"/>
            <w:vAlign w:val="bottom"/>
            <w:gridSpan w:val="2"/>
          </w:tcPr>
          <w:p>
            <w:pPr>
              <w:jc w:val="right"/>
              <w:ind w:right="161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tc>
      </w:tr>
      <w:tr>
        <w:trPr>
          <w:trHeight w:val="277"/>
        </w:trPr>
        <w:tc>
          <w:tcPr>
            <w:tcW w:w="258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0"/>
              </w:rPr>
              <w:t>Class</w:t>
            </w:r>
          </w:p>
        </w:tc>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480" w:type="dxa"/>
            <w:vAlign w:val="bottom"/>
            <w:gridSpan w:val="3"/>
          </w:tcPr>
          <w:p>
            <w:pPr>
              <w:jc w:val="right"/>
              <w:ind w:right="1630"/>
              <w:spacing w:after="0"/>
              <w:rPr>
                <w:sz w:val="20"/>
                <w:szCs w:val="20"/>
                <w:color w:val="auto"/>
              </w:rPr>
            </w:pPr>
            <w:r>
              <w:rPr>
                <w:rFonts w:ascii="Arial" w:cs="Arial" w:eastAsia="Arial" w:hAnsi="Arial"/>
                <w:sz w:val="14"/>
                <w:szCs w:val="14"/>
                <w:b w:val="1"/>
                <w:bCs w:val="1"/>
                <w:color w:val="auto"/>
                <w:w w:val="92"/>
              </w:rPr>
              <w:t>Outstanding at July 31, 2012</w:t>
            </w:r>
          </w:p>
        </w:tc>
      </w:tr>
      <w:tr>
        <w:trPr>
          <w:trHeight w:val="20"/>
        </w:trPr>
        <w:tc>
          <w:tcPr>
            <w:tcW w:w="2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64"/>
        </w:trPr>
        <w:tc>
          <w:tcPr>
            <w:tcW w:w="4680" w:type="dxa"/>
            <w:vAlign w:val="bottom"/>
            <w:gridSpan w:val="3"/>
          </w:tcPr>
          <w:p>
            <w:pPr>
              <w:jc w:val="center"/>
              <w:ind w:left="730"/>
              <w:spacing w:after="0"/>
              <w:rPr>
                <w:sz w:val="20"/>
                <w:szCs w:val="20"/>
                <w:color w:val="auto"/>
              </w:rPr>
            </w:pPr>
            <w:r>
              <w:rPr>
                <w:rFonts w:ascii="Arial" w:cs="Arial" w:eastAsia="Arial" w:hAnsi="Arial"/>
                <w:sz w:val="18"/>
                <w:szCs w:val="18"/>
                <w:color w:val="auto"/>
                <w:w w:val="90"/>
              </w:rPr>
              <w:t>Common Stock, $0.001 par value</w:t>
            </w:r>
          </w:p>
        </w:tc>
        <w:tc>
          <w:tcPr>
            <w:tcW w:w="9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color w:val="auto"/>
                <w:w w:val="89"/>
              </w:rPr>
              <w:t>123,108,359</w:t>
            </w:r>
          </w:p>
        </w:tc>
        <w:tc>
          <w:tcPr>
            <w:tcW w:w="1720" w:type="dxa"/>
            <w:vAlign w:val="bottom"/>
          </w:tcPr>
          <w:p>
            <w:pPr>
              <w:spacing w:after="0"/>
              <w:rPr>
                <w:sz w:val="22"/>
                <w:szCs w:val="22"/>
                <w:color w:val="auto"/>
              </w:rPr>
            </w:pPr>
          </w:p>
        </w:tc>
      </w:tr>
    </w:tbl>
    <w:p>
      <w:pPr>
        <w:sectPr>
          <w:pgSz w:w="11900" w:h="16838" w:orient="portrait"/>
          <w:cols w:equalWidth="0" w:num="1">
            <w:col w:w="11380"/>
          </w:cols>
          <w:pgMar w:left="240" w:top="229" w:right="27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References to “we,” “us,” “our,” “Beazer”, “Beazer Homes” and the “Company” in this quarterly report on Form 10-Q refer to Beazer Homes USA, Inc.</w:t>
      </w:r>
    </w:p>
    <w:p>
      <w:pPr>
        <w:spacing w:after="0" w:line="7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Quarterly Report on Form 10-Q contains forward-looking statements. These forward-looking statements represent our expectations or beliefs concerning future events, and it is possible that the results described in this quarterly report will not be achieved. These forward-looking statements can generally be identified by the use of statements that include words such as “estimate,” “project,” “believe,” “expect,” “anticipate,” “intend,” “plan,” “foresee,” “likely,” “will,” “goal,” “target” or other similar words or phrases. All forward-looking statements are based upon information available to us on the date of this quarterly report.</w:t>
      </w:r>
    </w:p>
    <w:p>
      <w:pPr>
        <w:spacing w:after="0" w:line="8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These forward-looking statements are subject to risks, uncertainties and other factors, many of which are outside of our control, that could cause actual results to differ materially from the results discussed in the forward-looking statements, including, among other things, the matters discussed in this quarterly report in the section captioned “Management’s Discussion and Analysis of Financial Condition and Results of Operations.” Additional information about factors that could lead to material changes in performance is contained in Part I, Item 1A— Risk Factors of our Annual Report on Form 10-K for the fiscal year ended September 30, 2011. These factors are not intended to be an all-encompassing list of risks and uncertainties that may affect the operations, performance, development and results of our business, but instead are the risks that we currently perceive as potentially being material. Such factors may include:</w:t>
      </w:r>
    </w:p>
    <w:p>
      <w:pPr>
        <w:spacing w:after="0" w:line="6" w:lineRule="exact"/>
        <w:rPr>
          <w:sz w:val="20"/>
          <w:szCs w:val="20"/>
          <w:color w:val="auto"/>
        </w:rPr>
      </w:pPr>
    </w:p>
    <w:p>
      <w:pPr>
        <w:ind w:left="660" w:right="8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final outcome of various putative class action lawsuits, multi-party suits and similar proceedings as well as the results of any other litigation or government proceedings and fulfillment of the obligations in the Deferred Prosecution Agreement and consent orders with governmental authorities and other settlement agreements;</w:t>
      </w:r>
    </w:p>
    <w:p>
      <w:pPr>
        <w:spacing w:after="0" w:line="2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asset impairment charges or writedowns;</w:t>
      </w:r>
    </w:p>
    <w:p>
      <w:pPr>
        <w:spacing w:after="0" w:line="6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changes nationally or in local markets, including changes in consumer confidence, declines in employment levels, volatility of mortgage interest rates and inflation;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changes in lending guidelines and regulations;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slower economic rebound than anticipated, coupled with persistently high unemployment and additional foreclosures;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or increased downturn in the homebuilding industry;</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related to homes to be delivered in the future (backlog) are imprecise as they are subject to various cancellation risks which cannot be fully controlled;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or increased disruption in the availability of mortgage financing or number of foreclosures in the market;</w:t>
      </w:r>
    </w:p>
    <w:p>
      <w:pPr>
        <w:spacing w:after="0" w:line="63"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cost of and ability to access capital and otherwise meet our ongoing liquidity needs including the impact of any downgrades of our credit ratings or reductions in our tangible net worth or liquidity levels;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inability to comply with covenants in our debt agreements or satisfy such obligations through repayment or refinancing;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competition or delays in reacting to changing consumer preference in home design;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of or increased prices for labor, land or raw materials used in housing production;</w:t>
      </w:r>
    </w:p>
    <w:p>
      <w:pPr>
        <w:spacing w:after="0" w:line="63"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affecting margins such as decreased land values underlying land option agreements, increased land development costs on communities under development or delays or difficulties in implementing initiatives to reduce production and overhead cost structure;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unconsolidated entities and our unconsolidated entity partners;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construction defect and home warranty claims including those related to possible installation of drywall imported from China;</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and availability of insurance and surety bonds;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land development or home construction resulting from adverse weather conditions;</w:t>
      </w:r>
    </w:p>
    <w:p>
      <w:pPr>
        <w:spacing w:after="0" w:line="63"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delays or increased costs in obtaining necessary permits as a result of changes to, or complying with, laws, regulations, or governmental policies and possible penalties for failure to comply with such laws, regulations and governmental policies;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exposure related to additional repurchase claims on mortgages and loans originated by Beazer Mortgage Corporation;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related to the potential recoverability of our deferred tax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changes in accounting policies, standards, guidelines or principles;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terrorist acts, acts of war and other factors over which the Company has little or no control.</w:t>
      </w:r>
    </w:p>
    <w:p>
      <w:pPr>
        <w:spacing w:after="0" w:line="17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Any forward-looking statement speaks only as of the date on which such statement is made, and, except as required by law,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00"/>
          </w:cols>
          <w:pgMar w:left="240" w:top="121"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9540" w:type="dxa"/>
            <w:vAlign w:val="bottom"/>
            <w:gridSpan w:val="15"/>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48"/>
        </w:trPr>
        <w:tc>
          <w:tcPr>
            <w:tcW w:w="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60" w:type="dxa"/>
            <w:vAlign w:val="bottom"/>
            <w:gridSpan w:val="5"/>
          </w:tcPr>
          <w:p>
            <w:pPr>
              <w:jc w:val="center"/>
              <w:ind w:right="1280"/>
              <w:spacing w:after="0"/>
              <w:rPr>
                <w:sz w:val="20"/>
                <w:szCs w:val="20"/>
                <w:color w:val="auto"/>
              </w:rPr>
            </w:pPr>
            <w:r>
              <w:rPr>
                <w:rFonts w:ascii="Arial" w:cs="Arial" w:eastAsia="Arial" w:hAnsi="Arial"/>
                <w:sz w:val="18"/>
                <w:szCs w:val="18"/>
                <w:b w:val="1"/>
                <w:bCs w:val="1"/>
                <w:color w:val="auto"/>
                <w:w w:val="99"/>
              </w:rPr>
              <w:t>BEAZER HOMES USA, INC.</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60" w:type="dxa"/>
            <w:vAlign w:val="bottom"/>
            <w:gridSpan w:val="5"/>
          </w:tcPr>
          <w:p>
            <w:pPr>
              <w:jc w:val="center"/>
              <w:ind w:right="1300"/>
              <w:spacing w:after="0"/>
              <w:rPr>
                <w:sz w:val="20"/>
                <w:szCs w:val="20"/>
                <w:color w:val="auto"/>
              </w:rPr>
            </w:pPr>
            <w:r>
              <w:rPr>
                <w:rFonts w:ascii="Arial" w:cs="Arial" w:eastAsia="Arial" w:hAnsi="Arial"/>
                <w:sz w:val="18"/>
                <w:szCs w:val="18"/>
                <w:b w:val="1"/>
                <w:bCs w:val="1"/>
                <w:color w:val="auto"/>
                <w:w w:val="99"/>
              </w:rPr>
              <w:t>FORM 10-Q</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300" w:type="dxa"/>
            <w:vAlign w:val="bottom"/>
            <w:gridSpan w:val="4"/>
          </w:tcPr>
          <w:p>
            <w:pPr>
              <w:jc w:val="center"/>
              <w:ind w:right="3340"/>
              <w:spacing w:after="0"/>
              <w:rPr>
                <w:sz w:val="20"/>
                <w:szCs w:val="20"/>
                <w:color w:val="auto"/>
              </w:rPr>
            </w:pPr>
            <w:r>
              <w:rPr>
                <w:rFonts w:ascii="Arial" w:cs="Arial" w:eastAsia="Arial" w:hAnsi="Arial"/>
                <w:sz w:val="18"/>
                <w:szCs w:val="18"/>
                <w:color w:val="auto"/>
              </w:rPr>
              <w:t>INDEX</w:t>
            </w: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40" w:type="dxa"/>
            <w:vAlign w:val="bottom"/>
          </w:tcPr>
          <w:p>
            <w:pPr>
              <w:spacing w:after="0"/>
              <w:rPr>
                <w:sz w:val="24"/>
                <w:szCs w:val="24"/>
                <w:color w:val="auto"/>
              </w:rPr>
            </w:pPr>
          </w:p>
        </w:tc>
        <w:tc>
          <w:tcPr>
            <w:tcW w:w="9500" w:type="dxa"/>
            <w:vAlign w:val="bottom"/>
            <w:gridSpan w:val="14"/>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1860" w:type="dxa"/>
            <w:vAlign w:val="bottom"/>
            <w:gridSpan w:val="3"/>
          </w:tcPr>
          <w:p>
            <w:pPr>
              <w:jc w:val="right"/>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4</w:t>
              </w:r>
            </w:hyperlink>
          </w:p>
        </w:tc>
      </w:tr>
      <w:tr>
        <w:trPr>
          <w:trHeight w:val="250"/>
        </w:trPr>
        <w:tc>
          <w:tcPr>
            <w:tcW w:w="40" w:type="dxa"/>
            <w:vAlign w:val="bottom"/>
          </w:tcPr>
          <w:p>
            <w:pPr>
              <w:spacing w:after="0"/>
              <w:rPr>
                <w:sz w:val="21"/>
                <w:szCs w:val="21"/>
                <w:color w:val="auto"/>
              </w:rPr>
            </w:pPr>
          </w:p>
        </w:tc>
        <w:tc>
          <w:tcPr>
            <w:tcW w:w="2200" w:type="dxa"/>
            <w:vAlign w:val="bottom"/>
            <w:tcBorders>
              <w:top w:val="single" w:sz="8" w:color="0000FF"/>
              <w:bottom w:val="single" w:sz="8" w:color="0000FF"/>
            </w:tcBorders>
            <w:gridSpan w:val="6"/>
          </w:tcPr>
          <w:p>
            <w:pPr>
              <w:spacing w:after="0"/>
              <w:rPr>
                <w:rFonts w:ascii="Arial" w:cs="Arial" w:eastAsia="Arial" w:hAnsi="Arial"/>
                <w:sz w:val="18"/>
                <w:szCs w:val="18"/>
                <w:b w:val="1"/>
                <w:bCs w:val="1"/>
                <w:color w:val="0000FF"/>
                <w:w w:val="90"/>
              </w:rPr>
            </w:pPr>
            <w:hyperlink w:anchor="page4">
              <w:r>
                <w:rPr>
                  <w:rFonts w:ascii="Arial" w:cs="Arial" w:eastAsia="Arial" w:hAnsi="Arial"/>
                  <w:sz w:val="18"/>
                  <w:szCs w:val="18"/>
                  <w:b w:val="1"/>
                  <w:bCs w:val="1"/>
                  <w:color w:val="0000FF"/>
                  <w:w w:val="90"/>
                </w:rPr>
                <w:t>Item 1. Financial Statements</w:t>
              </w:r>
            </w:hyperlink>
          </w:p>
        </w:tc>
        <w:tc>
          <w:tcPr>
            <w:tcW w:w="860" w:type="dxa"/>
            <w:vAlign w:val="bottom"/>
            <w:tcBorders>
              <w:top w:val="single" w:sz="8" w:color="0000FF"/>
            </w:tcBorders>
            <w:gridSpan w:val="2"/>
          </w:tcPr>
          <w:p>
            <w:pPr>
              <w:spacing w:after="0"/>
              <w:rPr>
                <w:sz w:val="21"/>
                <w:szCs w:val="21"/>
                <w:color w:val="auto"/>
              </w:rPr>
            </w:pPr>
          </w:p>
        </w:tc>
        <w:tc>
          <w:tcPr>
            <w:tcW w:w="6440" w:type="dxa"/>
            <w:vAlign w:val="bottom"/>
            <w:gridSpan w:val="6"/>
          </w:tcPr>
          <w:p>
            <w:pPr>
              <w:spacing w:after="0"/>
              <w:rPr>
                <w:sz w:val="21"/>
                <w:szCs w:val="21"/>
                <w:color w:val="auto"/>
              </w:rPr>
            </w:pPr>
          </w:p>
        </w:tc>
        <w:tc>
          <w:tcPr>
            <w:tcW w:w="176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b w:val="1"/>
                <w:bCs w:val="1"/>
                <w:color w:val="0000FF"/>
                <w:w w:val="79"/>
              </w:rPr>
            </w:pPr>
            <w:hyperlink w:anchor="page4">
              <w:r>
                <w:rPr>
                  <w:rFonts w:ascii="Arial" w:cs="Arial" w:eastAsia="Arial" w:hAnsi="Arial"/>
                  <w:sz w:val="18"/>
                  <w:szCs w:val="18"/>
                  <w:b w:val="1"/>
                  <w:bCs w:val="1"/>
                  <w:color w:val="0000FF"/>
                  <w:w w:val="79"/>
                </w:rPr>
                <w:t>4</w:t>
              </w:r>
            </w:hyperlink>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960" w:type="dxa"/>
            <w:vAlign w:val="bottom"/>
            <w:tcBorders>
              <w:bottom w:val="single" w:sz="8" w:color="0000FF"/>
            </w:tcBorders>
            <w:gridSpan w:val="11"/>
          </w:tcPr>
          <w:p>
            <w:pPr>
              <w:spacing w:after="0"/>
              <w:rPr>
                <w:rFonts w:ascii="Arial" w:cs="Arial" w:eastAsia="Arial" w:hAnsi="Arial"/>
                <w:sz w:val="18"/>
                <w:szCs w:val="18"/>
                <w:b w:val="1"/>
                <w:bCs w:val="1"/>
                <w:color w:val="0000FF"/>
                <w:w w:val="88"/>
              </w:rPr>
            </w:pPr>
            <w:hyperlink w:anchor="page4">
              <w:r>
                <w:rPr>
                  <w:rFonts w:ascii="Arial" w:cs="Arial" w:eastAsia="Arial" w:hAnsi="Arial"/>
                  <w:sz w:val="18"/>
                  <w:szCs w:val="18"/>
                  <w:b w:val="1"/>
                  <w:bCs w:val="1"/>
                  <w:color w:val="0000FF"/>
                  <w:w w:val="88"/>
                </w:rPr>
                <w:t>Unaudited Condensed Consolidated Balance Sheets, June 30, 2012 and September 30, 2011</w:t>
              </w:r>
            </w:hyperlink>
          </w:p>
        </w:tc>
        <w:tc>
          <w:tcPr>
            <w:tcW w:w="2080" w:type="dxa"/>
            <w:vAlign w:val="bottom"/>
            <w:gridSpan w:val="2"/>
          </w:tcPr>
          <w:p>
            <w:pPr>
              <w:spacing w:after="0"/>
              <w:rPr>
                <w:sz w:val="21"/>
                <w:szCs w:val="21"/>
                <w:color w:val="auto"/>
              </w:rPr>
            </w:pPr>
          </w:p>
        </w:tc>
        <w:tc>
          <w:tcPr>
            <w:tcW w:w="17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b w:val="1"/>
                <w:bCs w:val="1"/>
                <w:color w:val="0000FF"/>
                <w:w w:val="79"/>
              </w:rPr>
            </w:pPr>
            <w:hyperlink w:anchor="page4">
              <w:r>
                <w:rPr>
                  <w:rFonts w:ascii="Arial" w:cs="Arial" w:eastAsia="Arial" w:hAnsi="Arial"/>
                  <w:sz w:val="18"/>
                  <w:szCs w:val="18"/>
                  <w:b w:val="1"/>
                  <w:bCs w:val="1"/>
                  <w:color w:val="0000FF"/>
                  <w:w w:val="79"/>
                </w:rPr>
                <w:t>4</w:t>
              </w:r>
            </w:hyperlink>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40" w:type="dxa"/>
            <w:vAlign w:val="bottom"/>
            <w:tcBorders>
              <w:bottom w:val="single" w:sz="8" w:color="0000FF"/>
            </w:tcBorders>
            <w:gridSpan w:val="13"/>
          </w:tcPr>
          <w:p>
            <w:pPr>
              <w:spacing w:after="0"/>
              <w:rPr>
                <w:rFonts w:ascii="Arial" w:cs="Arial" w:eastAsia="Arial" w:hAnsi="Arial"/>
                <w:sz w:val="18"/>
                <w:szCs w:val="18"/>
                <w:b w:val="1"/>
                <w:bCs w:val="1"/>
                <w:color w:val="0000FF"/>
                <w:w w:val="89"/>
              </w:rPr>
            </w:pPr>
            <w:hyperlink w:anchor="page4">
              <w:r>
                <w:rPr>
                  <w:rFonts w:ascii="Arial" w:cs="Arial" w:eastAsia="Arial" w:hAnsi="Arial"/>
                  <w:sz w:val="18"/>
                  <w:szCs w:val="18"/>
                  <w:b w:val="1"/>
                  <w:bCs w:val="1"/>
                  <w:color w:val="0000FF"/>
                  <w:w w:val="89"/>
                </w:rPr>
                <w:t>Unaudited Condensed Consolidated Statements of Operations, Three and Nine Months Ended June 30, 2012 and 2011</w:t>
              </w:r>
            </w:hyperlink>
          </w:p>
        </w:tc>
        <w:tc>
          <w:tcPr>
            <w:tcW w:w="17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b w:val="1"/>
                <w:bCs w:val="1"/>
                <w:color w:val="0000FF"/>
                <w:w w:val="79"/>
              </w:rPr>
            </w:pPr>
            <w:hyperlink w:anchor="page4">
              <w:r>
                <w:rPr>
                  <w:rFonts w:ascii="Arial" w:cs="Arial" w:eastAsia="Arial" w:hAnsi="Arial"/>
                  <w:sz w:val="18"/>
                  <w:szCs w:val="18"/>
                  <w:b w:val="1"/>
                  <w:bCs w:val="1"/>
                  <w:color w:val="0000FF"/>
                  <w:w w:val="79"/>
                </w:rPr>
                <w:t>5</w:t>
              </w:r>
            </w:hyperlink>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40" w:type="dxa"/>
            <w:vAlign w:val="bottom"/>
            <w:gridSpan w:val="13"/>
          </w:tcPr>
          <w:p>
            <w:pPr>
              <w:spacing w:after="0"/>
              <w:rPr>
                <w:rFonts w:ascii="Arial" w:cs="Arial" w:eastAsia="Arial" w:hAnsi="Arial"/>
                <w:sz w:val="18"/>
                <w:szCs w:val="18"/>
                <w:b w:val="1"/>
                <w:bCs w:val="1"/>
                <w:color w:val="0000FF"/>
                <w:w w:val="97"/>
              </w:rPr>
            </w:pPr>
            <w:hyperlink w:anchor="page5">
              <w:r>
                <w:rPr>
                  <w:rFonts w:ascii="Arial" w:cs="Arial" w:eastAsia="Arial" w:hAnsi="Arial"/>
                  <w:sz w:val="18"/>
                  <w:szCs w:val="18"/>
                  <w:b w:val="1"/>
                  <w:bCs w:val="1"/>
                  <w:color w:val="0000FF"/>
                  <w:w w:val="97"/>
                </w:rPr>
                <w:t>Unaudited Condensed Consolidated Statements of Cash Flows, Nine Months Ended June 30, 2012 and 2011</w:t>
              </w:r>
            </w:hyperlink>
          </w:p>
        </w:tc>
        <w:tc>
          <w:tcPr>
            <w:tcW w:w="1860" w:type="dxa"/>
            <w:vAlign w:val="bottom"/>
            <w:gridSpan w:val="3"/>
          </w:tcPr>
          <w:p>
            <w:pPr>
              <w:jc w:val="right"/>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6</w:t>
              </w:r>
            </w:hyperlink>
          </w:p>
        </w:tc>
      </w:tr>
      <w:tr>
        <w:trPr>
          <w:trHeight w:val="250"/>
        </w:trPr>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20" w:type="dxa"/>
            <w:vAlign w:val="bottom"/>
            <w:tcBorders>
              <w:top w:val="single" w:sz="8" w:color="0000FF"/>
            </w:tcBorders>
            <w:gridSpan w:val="12"/>
          </w:tcPr>
          <w:p>
            <w:pPr>
              <w:spacing w:after="0"/>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Notes to Unaudited Condensed Consolidated Financial Statements</w:t>
              </w:r>
            </w:hyperlink>
          </w:p>
        </w:tc>
        <w:tc>
          <w:tcPr>
            <w:tcW w:w="820" w:type="dxa"/>
            <w:vAlign w:val="bottom"/>
          </w:tcPr>
          <w:p>
            <w:pPr>
              <w:spacing w:after="0"/>
              <w:rPr>
                <w:sz w:val="21"/>
                <w:szCs w:val="21"/>
                <w:color w:val="auto"/>
              </w:rPr>
            </w:pPr>
          </w:p>
        </w:tc>
        <w:tc>
          <w:tcPr>
            <w:tcW w:w="176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b w:val="1"/>
                <w:bCs w:val="1"/>
                <w:color w:val="0000FF"/>
                <w:w w:val="79"/>
              </w:rPr>
            </w:pPr>
            <w:hyperlink w:anchor="page6">
              <w:r>
                <w:rPr>
                  <w:rFonts w:ascii="Arial" w:cs="Arial" w:eastAsia="Arial" w:hAnsi="Arial"/>
                  <w:sz w:val="18"/>
                  <w:szCs w:val="18"/>
                  <w:b w:val="1"/>
                  <w:bCs w:val="1"/>
                  <w:color w:val="0000FF"/>
                  <w:w w:val="79"/>
                </w:rPr>
                <w:t>7</w:t>
              </w:r>
            </w:hyperlink>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420" w:type="dxa"/>
            <w:vAlign w:val="bottom"/>
            <w:gridSpan w:val="12"/>
          </w:tcPr>
          <w:p>
            <w:pPr>
              <w:spacing w:after="0"/>
              <w:rPr>
                <w:rFonts w:ascii="Arial" w:cs="Arial" w:eastAsia="Arial" w:hAnsi="Arial"/>
                <w:sz w:val="18"/>
                <w:szCs w:val="18"/>
                <w:b w:val="1"/>
                <w:bCs w:val="1"/>
                <w:color w:val="0000FF"/>
                <w:w w:val="89"/>
              </w:rPr>
            </w:pPr>
            <w:hyperlink w:anchor="page32">
              <w:r>
                <w:rPr>
                  <w:rFonts w:ascii="Arial" w:cs="Arial" w:eastAsia="Arial" w:hAnsi="Arial"/>
                  <w:sz w:val="18"/>
                  <w:szCs w:val="18"/>
                  <w:b w:val="1"/>
                  <w:bCs w:val="1"/>
                  <w:color w:val="0000FF"/>
                  <w:w w:val="89"/>
                </w:rPr>
                <w:t>Item 2. Management’s Discussion and Analysis of Financial Condition and Results of Operations</w:t>
              </w:r>
            </w:hyperlink>
          </w:p>
        </w:tc>
        <w:tc>
          <w:tcPr>
            <w:tcW w:w="2080" w:type="dxa"/>
            <w:vAlign w:val="bottom"/>
            <w:gridSpan w:val="2"/>
          </w:tcPr>
          <w:p>
            <w:pPr>
              <w:spacing w:after="0"/>
              <w:rPr>
                <w:sz w:val="21"/>
                <w:szCs w:val="21"/>
                <w:color w:val="auto"/>
              </w:rPr>
            </w:pPr>
          </w:p>
        </w:tc>
        <w:tc>
          <w:tcPr>
            <w:tcW w:w="1860" w:type="dxa"/>
            <w:vAlign w:val="bottom"/>
            <w:gridSpan w:val="3"/>
          </w:tcPr>
          <w:p>
            <w:pPr>
              <w:jc w:val="right"/>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33</w:t>
              </w:r>
            </w:hyperlink>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60" w:type="dxa"/>
            <w:vAlign w:val="bottom"/>
            <w:gridSpan w:val="2"/>
          </w:tcPr>
          <w:p>
            <w:pPr>
              <w:spacing w:after="0"/>
              <w:rPr>
                <w:rFonts w:ascii="Arial" w:cs="Arial" w:eastAsia="Arial" w:hAnsi="Arial"/>
                <w:sz w:val="18"/>
                <w:szCs w:val="18"/>
                <w:b w:val="1"/>
                <w:bCs w:val="1"/>
                <w:color w:val="0000FF"/>
                <w:w w:val="94"/>
              </w:rPr>
            </w:pPr>
            <w:hyperlink w:anchor="page43">
              <w:r>
                <w:rPr>
                  <w:rFonts w:ascii="Arial" w:cs="Arial" w:eastAsia="Arial" w:hAnsi="Arial"/>
                  <w:sz w:val="18"/>
                  <w:szCs w:val="18"/>
                  <w:b w:val="1"/>
                  <w:bCs w:val="1"/>
                  <w:color w:val="0000FF"/>
                  <w:w w:val="94"/>
                </w:rPr>
                <w:t>Item 3.</w:t>
              </w:r>
            </w:hyperlink>
          </w:p>
        </w:tc>
        <w:tc>
          <w:tcPr>
            <w:tcW w:w="6860" w:type="dxa"/>
            <w:vAlign w:val="bottom"/>
            <w:gridSpan w:val="10"/>
          </w:tcPr>
          <w:p>
            <w:pPr>
              <w:ind w:left="20"/>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Quantitative and Qualitative Disclosures about Market Risk</w:t>
              </w:r>
            </w:hyperlink>
          </w:p>
        </w:tc>
        <w:tc>
          <w:tcPr>
            <w:tcW w:w="2080" w:type="dxa"/>
            <w:vAlign w:val="bottom"/>
            <w:gridSpan w:val="2"/>
          </w:tcPr>
          <w:p>
            <w:pPr>
              <w:spacing w:after="0"/>
              <w:rPr>
                <w:sz w:val="21"/>
                <w:szCs w:val="21"/>
                <w:color w:val="auto"/>
              </w:rPr>
            </w:pPr>
          </w:p>
        </w:tc>
        <w:tc>
          <w:tcPr>
            <w:tcW w:w="1860" w:type="dxa"/>
            <w:vAlign w:val="bottom"/>
            <w:gridSpan w:val="3"/>
          </w:tcPr>
          <w:p>
            <w:pPr>
              <w:jc w:val="right"/>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43</w:t>
              </w:r>
            </w:hyperlink>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60" w:type="dxa"/>
            <w:vAlign w:val="bottom"/>
            <w:gridSpan w:val="2"/>
          </w:tcPr>
          <w:p>
            <w:pPr>
              <w:spacing w:after="0"/>
              <w:rPr>
                <w:rFonts w:ascii="Arial" w:cs="Arial" w:eastAsia="Arial" w:hAnsi="Arial"/>
                <w:sz w:val="18"/>
                <w:szCs w:val="18"/>
                <w:b w:val="1"/>
                <w:bCs w:val="1"/>
                <w:color w:val="0000FF"/>
                <w:w w:val="94"/>
              </w:rPr>
            </w:pPr>
            <w:hyperlink w:anchor="page43">
              <w:r>
                <w:rPr>
                  <w:rFonts w:ascii="Arial" w:cs="Arial" w:eastAsia="Arial" w:hAnsi="Arial"/>
                  <w:sz w:val="18"/>
                  <w:szCs w:val="18"/>
                  <w:b w:val="1"/>
                  <w:bCs w:val="1"/>
                  <w:color w:val="0000FF"/>
                  <w:w w:val="94"/>
                </w:rPr>
                <w:t>Item 4.</w:t>
              </w:r>
            </w:hyperlink>
          </w:p>
        </w:tc>
        <w:tc>
          <w:tcPr>
            <w:tcW w:w="1940" w:type="dxa"/>
            <w:vAlign w:val="bottom"/>
            <w:gridSpan w:val="5"/>
          </w:tcPr>
          <w:p>
            <w:pPr>
              <w:ind w:left="20"/>
              <w:spacing w:after="0"/>
              <w:rPr>
                <w:rFonts w:ascii="Arial" w:cs="Arial" w:eastAsia="Arial" w:hAnsi="Arial"/>
                <w:sz w:val="18"/>
                <w:szCs w:val="18"/>
                <w:b w:val="1"/>
                <w:bCs w:val="1"/>
                <w:color w:val="0000FF"/>
                <w:w w:val="88"/>
              </w:rPr>
            </w:pPr>
            <w:hyperlink w:anchor="page43">
              <w:r>
                <w:rPr>
                  <w:rFonts w:ascii="Arial" w:cs="Arial" w:eastAsia="Arial" w:hAnsi="Arial"/>
                  <w:sz w:val="18"/>
                  <w:szCs w:val="18"/>
                  <w:b w:val="1"/>
                  <w:bCs w:val="1"/>
                  <w:color w:val="0000FF"/>
                  <w:w w:val="88"/>
                </w:rPr>
                <w:t>Controls and Procedures</w:t>
              </w:r>
            </w:hyperlink>
          </w:p>
        </w:tc>
        <w:tc>
          <w:tcPr>
            <w:tcW w:w="2700" w:type="dxa"/>
            <w:vAlign w:val="bottom"/>
            <w:gridSpan w:val="3"/>
          </w:tcPr>
          <w:p>
            <w:pPr>
              <w:spacing w:after="0"/>
              <w:rPr>
                <w:sz w:val="21"/>
                <w:szCs w:val="21"/>
                <w:color w:val="auto"/>
              </w:rPr>
            </w:pPr>
          </w:p>
        </w:tc>
        <w:tc>
          <w:tcPr>
            <w:tcW w:w="4300" w:type="dxa"/>
            <w:vAlign w:val="bottom"/>
            <w:gridSpan w:val="4"/>
          </w:tcPr>
          <w:p>
            <w:pPr>
              <w:spacing w:after="0"/>
              <w:rPr>
                <w:sz w:val="21"/>
                <w:szCs w:val="21"/>
                <w:color w:val="auto"/>
              </w:rPr>
            </w:pPr>
          </w:p>
        </w:tc>
        <w:tc>
          <w:tcPr>
            <w:tcW w:w="1860" w:type="dxa"/>
            <w:vAlign w:val="bottom"/>
            <w:gridSpan w:val="3"/>
          </w:tcPr>
          <w:p>
            <w:pPr>
              <w:jc w:val="right"/>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43</w:t>
              </w:r>
            </w:hyperlink>
          </w:p>
        </w:tc>
      </w:tr>
      <w:tr>
        <w:trPr>
          <w:trHeight w:val="20"/>
        </w:trPr>
        <w:tc>
          <w:tcPr>
            <w:tcW w:w="40" w:type="dxa"/>
            <w:vAlign w:val="bottom"/>
          </w:tcPr>
          <w:p>
            <w:pPr>
              <w:spacing w:after="0" w:line="20" w:lineRule="exact"/>
              <w:rPr>
                <w:sz w:val="1"/>
                <w:szCs w:val="1"/>
                <w:color w:val="auto"/>
              </w:rPr>
            </w:pPr>
          </w:p>
        </w:tc>
        <w:tc>
          <w:tcPr>
            <w:tcW w:w="122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360" w:type="dxa"/>
            <w:vAlign w:val="bottom"/>
            <w:gridSpan w:val="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140" w:type="dxa"/>
            <w:vAlign w:val="bottom"/>
            <w:gridSpan w:val="9"/>
          </w:tcPr>
          <w:p>
            <w:pPr>
              <w:spacing w:after="0"/>
              <w:rPr>
                <w:rFonts w:ascii="Arial" w:cs="Arial" w:eastAsia="Arial" w:hAnsi="Arial"/>
                <w:sz w:val="18"/>
                <w:szCs w:val="18"/>
                <w:b w:val="1"/>
                <w:bCs w:val="1"/>
                <w:color w:val="0000FF"/>
              </w:rPr>
            </w:pPr>
            <w:hyperlink w:anchor="page44">
              <w:r>
                <w:rPr>
                  <w:rFonts w:ascii="Arial" w:cs="Arial" w:eastAsia="Arial" w:hAnsi="Arial"/>
                  <w:sz w:val="18"/>
                  <w:szCs w:val="18"/>
                  <w:b w:val="1"/>
                  <w:bCs w:val="1"/>
                  <w:color w:val="0000FF"/>
                </w:rPr>
                <w:t>PART II. FINANCIAL INFORMATION</w:t>
              </w:r>
            </w:hyperlink>
          </w:p>
        </w:tc>
        <w:tc>
          <w:tcPr>
            <w:tcW w:w="6360" w:type="dxa"/>
            <w:vAlign w:val="bottom"/>
            <w:gridSpan w:val="5"/>
          </w:tcPr>
          <w:p>
            <w:pPr>
              <w:spacing w:after="0"/>
              <w:rPr>
                <w:sz w:val="21"/>
                <w:szCs w:val="21"/>
                <w:color w:val="auto"/>
              </w:rPr>
            </w:pPr>
          </w:p>
        </w:tc>
        <w:tc>
          <w:tcPr>
            <w:tcW w:w="1860" w:type="dxa"/>
            <w:vAlign w:val="bottom"/>
            <w:gridSpan w:val="3"/>
          </w:tcPr>
          <w:p>
            <w:pPr>
              <w:jc w:val="right"/>
              <w:spacing w:after="0"/>
              <w:rPr>
                <w:rFonts w:ascii="Arial" w:cs="Arial" w:eastAsia="Arial" w:hAnsi="Arial"/>
                <w:sz w:val="18"/>
                <w:szCs w:val="18"/>
                <w:b w:val="1"/>
                <w:bCs w:val="1"/>
                <w:color w:val="0000FF"/>
              </w:rPr>
            </w:pPr>
            <w:hyperlink w:anchor="page44">
              <w:r>
                <w:rPr>
                  <w:rFonts w:ascii="Arial" w:cs="Arial" w:eastAsia="Arial" w:hAnsi="Arial"/>
                  <w:sz w:val="18"/>
                  <w:szCs w:val="18"/>
                  <w:b w:val="1"/>
                  <w:bCs w:val="1"/>
                  <w:color w:val="0000FF"/>
                </w:rPr>
                <w:t>44</w:t>
              </w:r>
            </w:hyperlink>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6360" w:type="dxa"/>
            <w:vAlign w:val="bottom"/>
            <w:gridSpan w:val="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60" w:type="dxa"/>
            <w:vAlign w:val="bottom"/>
            <w:gridSpan w:val="2"/>
          </w:tcPr>
          <w:p>
            <w:pPr>
              <w:spacing w:after="0"/>
              <w:rPr>
                <w:rFonts w:ascii="Arial" w:cs="Arial" w:eastAsia="Arial" w:hAnsi="Arial"/>
                <w:sz w:val="18"/>
                <w:szCs w:val="18"/>
                <w:b w:val="1"/>
                <w:bCs w:val="1"/>
                <w:color w:val="0000FF"/>
                <w:w w:val="94"/>
              </w:rPr>
            </w:pPr>
            <w:hyperlink w:anchor="page44">
              <w:r>
                <w:rPr>
                  <w:rFonts w:ascii="Arial" w:cs="Arial" w:eastAsia="Arial" w:hAnsi="Arial"/>
                  <w:sz w:val="18"/>
                  <w:szCs w:val="18"/>
                  <w:b w:val="1"/>
                  <w:bCs w:val="1"/>
                  <w:color w:val="0000FF"/>
                  <w:w w:val="94"/>
                </w:rPr>
                <w:t>Item 1.</w:t>
              </w:r>
            </w:hyperlink>
          </w:p>
        </w:tc>
        <w:tc>
          <w:tcPr>
            <w:tcW w:w="2580" w:type="dxa"/>
            <w:vAlign w:val="bottom"/>
            <w:gridSpan w:val="7"/>
          </w:tcPr>
          <w:p>
            <w:pPr>
              <w:ind w:left="20"/>
              <w:spacing w:after="0"/>
              <w:rPr>
                <w:rFonts w:ascii="Arial" w:cs="Arial" w:eastAsia="Arial" w:hAnsi="Arial"/>
                <w:sz w:val="18"/>
                <w:szCs w:val="18"/>
                <w:b w:val="1"/>
                <w:bCs w:val="1"/>
                <w:color w:val="0000FF"/>
              </w:rPr>
            </w:pPr>
            <w:hyperlink w:anchor="page44">
              <w:r>
                <w:rPr>
                  <w:rFonts w:ascii="Arial" w:cs="Arial" w:eastAsia="Arial" w:hAnsi="Arial"/>
                  <w:sz w:val="18"/>
                  <w:szCs w:val="18"/>
                  <w:b w:val="1"/>
                  <w:bCs w:val="1"/>
                  <w:color w:val="0000FF"/>
                </w:rPr>
                <w:t>Legal Proceedings</w:t>
              </w:r>
            </w:hyperlink>
          </w:p>
        </w:tc>
        <w:tc>
          <w:tcPr>
            <w:tcW w:w="6360" w:type="dxa"/>
            <w:vAlign w:val="bottom"/>
            <w:gridSpan w:val="5"/>
          </w:tcPr>
          <w:p>
            <w:pPr>
              <w:spacing w:after="0"/>
              <w:rPr>
                <w:sz w:val="21"/>
                <w:szCs w:val="21"/>
                <w:color w:val="auto"/>
              </w:rPr>
            </w:pPr>
          </w:p>
        </w:tc>
        <w:tc>
          <w:tcPr>
            <w:tcW w:w="1860" w:type="dxa"/>
            <w:vAlign w:val="bottom"/>
            <w:gridSpan w:val="3"/>
          </w:tcPr>
          <w:p>
            <w:pPr>
              <w:jc w:val="right"/>
              <w:spacing w:after="0"/>
              <w:rPr>
                <w:rFonts w:ascii="Arial" w:cs="Arial" w:eastAsia="Arial" w:hAnsi="Arial"/>
                <w:sz w:val="18"/>
                <w:szCs w:val="18"/>
                <w:b w:val="1"/>
                <w:bCs w:val="1"/>
                <w:color w:val="0000FF"/>
              </w:rPr>
            </w:pPr>
            <w:hyperlink w:anchor="page44">
              <w:r>
                <w:rPr>
                  <w:rFonts w:ascii="Arial" w:cs="Arial" w:eastAsia="Arial" w:hAnsi="Arial"/>
                  <w:sz w:val="18"/>
                  <w:szCs w:val="18"/>
                  <w:b w:val="1"/>
                  <w:bCs w:val="1"/>
                  <w:color w:val="0000FF"/>
                </w:rPr>
                <w:t>44</w:t>
              </w:r>
            </w:hyperlink>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520" w:type="dxa"/>
            <w:vAlign w:val="bottom"/>
            <w:gridSpan w:val="9"/>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60" w:type="dxa"/>
            <w:vAlign w:val="bottom"/>
            <w:gridSpan w:val="2"/>
          </w:tcPr>
          <w:p>
            <w:pPr>
              <w:spacing w:after="0"/>
              <w:rPr>
                <w:rFonts w:ascii="Arial" w:cs="Arial" w:eastAsia="Arial" w:hAnsi="Arial"/>
                <w:sz w:val="18"/>
                <w:szCs w:val="18"/>
                <w:b w:val="1"/>
                <w:bCs w:val="1"/>
                <w:color w:val="0000FF"/>
                <w:w w:val="94"/>
              </w:rPr>
            </w:pPr>
            <w:hyperlink w:anchor="page45">
              <w:r>
                <w:rPr>
                  <w:rFonts w:ascii="Arial" w:cs="Arial" w:eastAsia="Arial" w:hAnsi="Arial"/>
                  <w:sz w:val="18"/>
                  <w:szCs w:val="18"/>
                  <w:b w:val="1"/>
                  <w:bCs w:val="1"/>
                  <w:color w:val="0000FF"/>
                  <w:w w:val="94"/>
                </w:rPr>
                <w:t>Item 6.</w:t>
              </w:r>
            </w:hyperlink>
          </w:p>
        </w:tc>
        <w:tc>
          <w:tcPr>
            <w:tcW w:w="1420" w:type="dxa"/>
            <w:vAlign w:val="bottom"/>
            <w:gridSpan w:val="3"/>
          </w:tcPr>
          <w:p>
            <w:pPr>
              <w:ind w:left="20"/>
              <w:spacing w:after="0"/>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Exhibits</w:t>
              </w:r>
            </w:hyperlink>
          </w:p>
        </w:tc>
        <w:tc>
          <w:tcPr>
            <w:tcW w:w="7520" w:type="dxa"/>
            <w:vAlign w:val="bottom"/>
            <w:gridSpan w:val="9"/>
          </w:tcPr>
          <w:p>
            <w:pPr>
              <w:spacing w:after="0"/>
              <w:rPr>
                <w:sz w:val="21"/>
                <w:szCs w:val="21"/>
                <w:color w:val="auto"/>
              </w:rPr>
            </w:pPr>
          </w:p>
        </w:tc>
        <w:tc>
          <w:tcPr>
            <w:tcW w:w="1860" w:type="dxa"/>
            <w:vAlign w:val="bottom"/>
            <w:gridSpan w:val="3"/>
          </w:tcPr>
          <w:p>
            <w:pPr>
              <w:jc w:val="right"/>
              <w:spacing w:after="0"/>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45</w:t>
              </w:r>
            </w:hyperlink>
          </w:p>
        </w:tc>
      </w:tr>
      <w:tr>
        <w:trPr>
          <w:trHeight w:val="20"/>
        </w:trPr>
        <w:tc>
          <w:tcPr>
            <w:tcW w:w="40" w:type="dxa"/>
            <w:vAlign w:val="bottom"/>
          </w:tcPr>
          <w:p>
            <w:pPr>
              <w:spacing w:after="0" w:line="20" w:lineRule="exact"/>
              <w:rPr>
                <w:sz w:val="1"/>
                <w:szCs w:val="1"/>
                <w:color w:val="auto"/>
              </w:rPr>
            </w:pPr>
          </w:p>
        </w:tc>
        <w:tc>
          <w:tcPr>
            <w:tcW w:w="1220" w:type="dxa"/>
            <w:vAlign w:val="bottom"/>
            <w:tcBorders>
              <w:right w:val="single" w:sz="8" w:color="0000FF"/>
            </w:tcBorders>
            <w:gridSpan w:val="4"/>
            <w:shd w:val="clear" w:color="auto" w:fill="0000FF"/>
          </w:tcPr>
          <w:p>
            <w:pPr>
              <w:spacing w:after="0" w:line="20" w:lineRule="exact"/>
              <w:rPr>
                <w:sz w:val="1"/>
                <w:szCs w:val="1"/>
                <w:color w:val="auto"/>
              </w:rPr>
            </w:pPr>
          </w:p>
        </w:tc>
        <w:tc>
          <w:tcPr>
            <w:tcW w:w="8280" w:type="dxa"/>
            <w:vAlign w:val="bottom"/>
            <w:gridSpan w:val="1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20" w:type="dxa"/>
            <w:vAlign w:val="bottom"/>
            <w:gridSpan w:val="4"/>
          </w:tcPr>
          <w:p>
            <w:pPr>
              <w:spacing w:after="0"/>
              <w:rPr>
                <w:rFonts w:ascii="Arial" w:cs="Arial" w:eastAsia="Arial" w:hAnsi="Arial"/>
                <w:sz w:val="18"/>
                <w:szCs w:val="18"/>
                <w:b w:val="1"/>
                <w:bCs w:val="1"/>
                <w:color w:val="0000FF"/>
                <w:w w:val="99"/>
              </w:rPr>
            </w:pPr>
            <w:hyperlink w:anchor="page45">
              <w:r>
                <w:rPr>
                  <w:rFonts w:ascii="Arial" w:cs="Arial" w:eastAsia="Arial" w:hAnsi="Arial"/>
                  <w:sz w:val="18"/>
                  <w:szCs w:val="18"/>
                  <w:b w:val="1"/>
                  <w:bCs w:val="1"/>
                  <w:color w:val="0000FF"/>
                  <w:w w:val="99"/>
                </w:rPr>
                <w:t>SIGNATURES</w:t>
              </w:r>
            </w:hyperlink>
          </w:p>
        </w:tc>
        <w:tc>
          <w:tcPr>
            <w:tcW w:w="8280" w:type="dxa"/>
            <w:vAlign w:val="bottom"/>
            <w:gridSpan w:val="10"/>
          </w:tcPr>
          <w:p>
            <w:pPr>
              <w:spacing w:after="0"/>
              <w:rPr>
                <w:sz w:val="21"/>
                <w:szCs w:val="21"/>
                <w:color w:val="auto"/>
              </w:rPr>
            </w:pPr>
          </w:p>
        </w:tc>
        <w:tc>
          <w:tcPr>
            <w:tcW w:w="1860" w:type="dxa"/>
            <w:vAlign w:val="bottom"/>
            <w:gridSpan w:val="3"/>
          </w:tcPr>
          <w:p>
            <w:pPr>
              <w:jc w:val="right"/>
              <w:spacing w:after="0"/>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45</w:t>
              </w:r>
            </w:hyperlink>
          </w:p>
        </w:tc>
      </w:tr>
      <w:tr>
        <w:trPr>
          <w:trHeight w:val="670"/>
        </w:trPr>
        <w:tc>
          <w:tcPr>
            <w:tcW w:w="4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gridSpan w:val="2"/>
          </w:tcPr>
          <w:p>
            <w:pPr>
              <w:spacing w:after="0"/>
              <w:rPr>
                <w:sz w:val="24"/>
                <w:szCs w:val="24"/>
                <w:color w:val="auto"/>
              </w:rPr>
            </w:pPr>
          </w:p>
        </w:tc>
        <w:tc>
          <w:tcPr>
            <w:tcW w:w="6200" w:type="dxa"/>
            <w:vAlign w:val="bottom"/>
            <w:gridSpan w:val="8"/>
          </w:tcPr>
          <w:p>
            <w:pPr>
              <w:jc w:val="center"/>
              <w:ind w:left="2628"/>
              <w:spacing w:after="0"/>
              <w:rPr>
                <w:sz w:val="20"/>
                <w:szCs w:val="20"/>
                <w:color w:val="auto"/>
              </w:rPr>
            </w:pPr>
            <w:r>
              <w:rPr>
                <w:rFonts w:ascii="Arial" w:cs="Arial" w:eastAsia="Arial" w:hAnsi="Arial"/>
                <w:sz w:val="14"/>
                <w:szCs w:val="14"/>
                <w:color w:val="auto"/>
                <w:w w:val="76"/>
              </w:rPr>
              <w:t>3</w:t>
            </w: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BEAZER HOMES USA,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color w:val="auto"/>
                <w:w w:val="97"/>
              </w:rPr>
              <w:t>September 30,</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rPr>
              <w:t>231,616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370,403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271,782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277,058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receivable (net of allowance of $2,194 and $3,872, respectively)</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rPr>
              <w:t>25,010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28,303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Owned inventory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1,186,817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1,192,380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Land not owned under option agreements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rPr>
              <w:t>14,078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11,753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inventory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1,200,895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1,204,133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 in unconsolidated entities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rPr>
              <w:t>41,587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9,467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6,245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rPr>
              <w:t>20,849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22,613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Previously owned rental homes, net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rPr>
              <w:t>26,366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46,570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1,826,748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1,977,477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73,473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72,695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rPr>
              <w:t>125,764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212,187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Obligations related to land not owned under option agreements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6,029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Total debt (net of discounts of $20,348 and $23,243, respectively)</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rPr>
              <w:t>1,442,407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1,488,826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1,647,673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1,779,097</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(par value $.01 per share, 5,000,000 shares authorized, no shares issued)</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1"/>
              </w:rPr>
              <w:t>Common stock (par value $0.001 per share, 180,000,000 shares authorized, 101,116,819 and 75,588,396 issued</w:t>
            </w:r>
          </w:p>
        </w:tc>
        <w:tc>
          <w:tcPr>
            <w:tcW w:w="300" w:type="dxa"/>
            <w:vAlign w:val="bottom"/>
          </w:tcPr>
          <w:p>
            <w:pPr>
              <w:spacing w:after="0"/>
              <w:rPr>
                <w:sz w:val="19"/>
                <w:szCs w:val="19"/>
                <w:color w:val="auto"/>
              </w:rPr>
            </w:pPr>
          </w:p>
        </w:tc>
        <w:tc>
          <w:tcPr>
            <w:tcW w:w="120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101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and outstanding, respectively)</w:t>
            </w:r>
          </w:p>
        </w:tc>
        <w:tc>
          <w:tcPr>
            <w:tcW w:w="3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684,513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624,750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(505,539)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(426,446)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179,075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198,380</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1,826,748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1,977,477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BEAZER HOMES USA,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w w:val="83"/>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w w:val="83"/>
              </w:rPr>
              <w:t>2011</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254,555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172,829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634,746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407,497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Home construction and land sales expenses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227,505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152,124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560,564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358,413</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impairments and option contract abandonments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5,819</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10,492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25,331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21,231</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13,835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63,690</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23,753</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Commissions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10,776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27,522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18,066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27,867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38,571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82,380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107,142</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3,743</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9,336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6,627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(21,155)</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(35,239)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(55,548)</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(108,082)</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(loss) of unconsolidated entities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 (loss) on extinguishment of debt</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(2,747)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(2,909)</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(16,804)</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(53,342)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(46,616)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(37,911)</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(111,662)</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(157,235)</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(36,438)</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(38,056)</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(75,224)</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(157,805)</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(1,828)</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(3,869)</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(39,884)</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(59,120)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(79,093)</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(161,683)</w:t>
            </w: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shares: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Basic and Diluted</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99,050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73,982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rPr>
              <w:t>83,887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73,930</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loss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(0.38)</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(0.90)</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(0.40)</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(0.94)</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BEAZER HOMES USA,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2"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color w:val="auto"/>
              </w:rPr>
              <w:t>2011</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(79,093)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(161,683)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9,371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7,033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6,599</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Inventory impairments and option contract abandonments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11,071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28,145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Impairment of future land purchase right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and other income tax benefit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(36,378)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Provision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 from equity-based compensation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 in loss of unconsolidated entities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Cash distributions of income from unconsolidated entities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Decrease in 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Decrease in income tax receivable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2,425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4,849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Decrease (increase) in 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(150,612)</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Decrease in other assets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5,442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3,391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Increase in trade 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15,803</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Decrease in other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(37,813)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(38,012)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 changes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(106,412)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(277,618)</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(15,117)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(12,134)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unconsolidated entities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Return of capital from unconsolidated entities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440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Increases in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(250,074)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Decreases in restricted cash</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6,955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4,950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(259,021)</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(213,755)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issuance of new debt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246,387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cash secured loan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247,368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Debt issuance costs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(5,130)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Settlement of unconsolidated entity debt obligation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(15,862)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redeemed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Excess tax benefit from equity-based compensation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(544)</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274,163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Decrease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(138,787)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(262,476)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370,403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537,121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231,616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274,645</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ectPr>
          <w:pgSz w:w="11900" w:h="16838" w:orient="portrait"/>
          <w:cols w:equalWidth="0" w:num="1">
            <w:col w:w="11420"/>
          </w:cols>
          <w:pgMar w:left="240" w:top="121"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BEAZER HOMES USA,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9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accompanying unaudited condensed consolidated financial statements of Beazer Homes USA, Inc. (Beazer Homes or the Company) have been prepared in accordance with accounting principles generally accepted in the United States of America (GAAP) for interim financial information and in accordance with the instructions to Form 10-Q and Article 10 of Regulation S-X. Such financial statements do not include all of the information and disclosures required by GAAP for complete financial statements. In our opinion, all adjustments (consisting primarily of normal recurring accruals) necessary for a fair presentation have been included in the accompanying financial statements. Certain items in prior period financial statements have been reclassified to conform to the current presentation. For further information and a discussion of our significant accounting policies other than as discussed below, refer to our audited consolidated financial statements appearing in the Beazer Homes’ Annual Report on Form 10-K for the fiscal year ended September 30, 2011 (the 2011 Annual Report). Over the past few years, we have discontinued homebuilding operations in certain of our markets. Results from our title services business and our exit markets are reported as discontinued operations in the accompanying unaudited condensed consolidated statements of operations for all periods presented (see Note 15 for further discussion of our Discontinued Operations). Our net loss is equivalent to our comprehensive loss. We evaluated events that occurred after the balance sheet date but before the financial statements were issued or were available to be issued for accounting treatment and disclosure.</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Inventory Valuation — </w:t>
      </w:r>
      <w:r>
        <w:rPr>
          <w:rFonts w:ascii="Arial" w:cs="Arial" w:eastAsia="Arial" w:hAnsi="Arial"/>
          <w:sz w:val="18"/>
          <w:szCs w:val="18"/>
          <w:color w:val="auto"/>
        </w:rPr>
        <w:t>We assess our inventory assets no less than quarterly for recoverability in accordance with the policies as described in Notes 1 and 4</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consolidated financial statements in our 2011 Annual Report. Our homebuilding inventories that are accounted for as held for development include land and home construction assets grouped together as communities. Homebuilding inventories held for development are stated at cost (including direct construction costs, capitalized indirect costs, capitalized interest and real estate taxes) unless facts and circumstances indicate that the carrying value of the assets may not be recoverable. For those communities for which construction and development activities are expected to occur in the future or have been idled (land held for future development), all applicable interest and real estate taxes are expensed as incurred and the inventory is stated at cost unless facts and circumstances indicate that the carrying value of the assets may not be recoverable. We record assets held for sale at the lower of the carrying value or fair value less costs to sell.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18"/>
          <w:szCs w:val="18"/>
          <w:color w:val="auto"/>
        </w:rPr>
        <w:t>Other liabilities include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2012</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color w:val="auto"/>
                <w:w w:val="92"/>
              </w:rPr>
              <w:t>September 30, 2011</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liabilities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21,457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55,093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Accrued warranty expenses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b w:val="1"/>
                <w:bCs w:val="1"/>
                <w:color w:val="auto"/>
              </w:rPr>
              <w:t>16,034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17,916</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18,021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39,478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Accrued and deferred compensation</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b w:val="1"/>
                <w:bCs w:val="1"/>
                <w:color w:val="auto"/>
              </w:rPr>
              <w:t>19,460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27,427</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9,743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b w:val="1"/>
                <w:bCs w:val="1"/>
                <w:color w:val="auto"/>
              </w:rPr>
              <w:t>41,049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66,405</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125,764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212,187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 xml:space="preserve">Recent Accounting Pronouncements. </w:t>
      </w:r>
      <w:r>
        <w:rPr>
          <w:rFonts w:ascii="Arial" w:cs="Arial" w:eastAsia="Arial" w:hAnsi="Arial"/>
          <w:sz w:val="17"/>
          <w:szCs w:val="17"/>
          <w:color w:val="auto"/>
        </w:rPr>
        <w:t>In May 2011, the Financial Accounting Standard Board (FASB) issued ASU 2011-04, Fair Value Measurement (Topic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820): </w:t>
      </w:r>
      <w:r>
        <w:rPr>
          <w:rFonts w:ascii="Arial" w:cs="Arial" w:eastAsia="Arial" w:hAnsi="Arial"/>
          <w:sz w:val="17"/>
          <w:szCs w:val="17"/>
          <w:i w:val="1"/>
          <w:iCs w:val="1"/>
          <w:color w:val="auto"/>
        </w:rPr>
        <w:t>Amendments to Achieve Common Fair Value Measurement and Disclosure Requirements in U.S. GAAP and IFRSs.</w:t>
      </w:r>
      <w:r>
        <w:rPr>
          <w:rFonts w:ascii="Arial" w:cs="Arial" w:eastAsia="Arial" w:hAnsi="Arial"/>
          <w:sz w:val="17"/>
          <w:szCs w:val="17"/>
          <w:color w:val="auto"/>
        </w:rPr>
        <w:t xml:space="preserve"> ASU 2011-04 clarifies some existing concepts, eliminates wording differences between U.S. GAAP and International Financial Reporting Standards (IFRS), and in some limited cases, changes some principles to achieve convergence between U.S. GAAP and IFRS. ASU 2011-04 results in a consistent definition of fair value and common requirements for measurement of and disclosure about fair value between U.S. GAAP and IFRS. ASU 2011-04 also expands the disclosures for fair value measurements that are estimated using significant unobservable (Level 3) inputs. The adoption of ASU 2011-04 effective with our second quarter of fiscal 2012 did not have a material effect on our operating results or financial position.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Supplemental Cash Flow Information</w:t>
      </w:r>
    </w:p>
    <w:p>
      <w:pPr>
        <w:spacing w:after="0" w:line="200" w:lineRule="exact"/>
        <w:rPr>
          <w:sz w:val="20"/>
          <w:szCs w:val="20"/>
          <w:color w:val="auto"/>
        </w:rPr>
      </w:pPr>
    </w:p>
    <w:p>
      <w:pPr>
        <w:spacing w:after="0" w:line="254" w:lineRule="exact"/>
        <w:rPr>
          <w:sz w:val="20"/>
          <w:szCs w:val="20"/>
          <w:color w:val="auto"/>
        </w:rPr>
      </w:pPr>
    </w:p>
    <w:p>
      <w:pPr>
        <w:jc w:val="center"/>
        <w:ind w:left="8360"/>
        <w:spacing w:after="0"/>
        <w:rPr>
          <w:sz w:val="20"/>
          <w:szCs w:val="20"/>
          <w:color w:val="auto"/>
        </w:rPr>
      </w:pPr>
      <w:r>
        <w:rPr>
          <w:rFonts w:ascii="Arial" w:cs="Arial" w:eastAsia="Arial" w:hAnsi="Arial"/>
          <w:sz w:val="14"/>
          <w:szCs w:val="14"/>
          <w:color w:val="auto"/>
        </w:rPr>
        <w:t>Nine Months Ended</w:t>
      </w:r>
    </w:p>
    <w:p>
      <w:pPr>
        <w:spacing w:after="0" w:line="42" w:lineRule="exact"/>
        <w:rPr>
          <w:sz w:val="20"/>
          <w:szCs w:val="20"/>
          <w:color w:val="auto"/>
        </w:rPr>
      </w:pPr>
    </w:p>
    <w:p>
      <w:pPr>
        <w:jc w:val="center"/>
        <w:ind w:left="8360"/>
        <w:spacing w:after="0"/>
        <w:rPr>
          <w:sz w:val="20"/>
          <w:szCs w:val="20"/>
          <w:color w:val="auto"/>
        </w:rPr>
      </w:pPr>
      <w:r>
        <w:rPr>
          <w:rFonts w:ascii="Arial" w:cs="Arial" w:eastAsia="Arial" w:hAnsi="Arial"/>
          <w:sz w:val="14"/>
          <w:szCs w:val="14"/>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20955</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860" w:type="dxa"/>
            <w:vAlign w:val="bottom"/>
          </w:tcPr>
          <w:p>
            <w:pPr>
              <w:spacing w:after="0"/>
              <w:rPr>
                <w:sz w:val="20"/>
                <w:szCs w:val="20"/>
                <w:color w:val="auto"/>
              </w:rPr>
            </w:pPr>
            <w:r>
              <w:rPr>
                <w:rFonts w:ascii="Arial" w:cs="Arial" w:eastAsia="Arial" w:hAnsi="Arial"/>
                <w:sz w:val="14"/>
                <w:szCs w:val="14"/>
                <w:color w:val="auto"/>
              </w:rPr>
              <w:t>(In thousands)</w:t>
            </w:r>
          </w:p>
        </w:tc>
        <w:tc>
          <w:tcPr>
            <w:tcW w:w="4980" w:type="dxa"/>
            <w:vAlign w:val="bottom"/>
          </w:tcPr>
          <w:p>
            <w:pPr>
              <w:jc w:val="right"/>
              <w:ind w:right="568"/>
              <w:spacing w:after="0"/>
              <w:rPr>
                <w:sz w:val="20"/>
                <w:szCs w:val="20"/>
                <w:color w:val="auto"/>
              </w:rPr>
            </w:pPr>
            <w:r>
              <w:rPr>
                <w:rFonts w:ascii="Arial" w:cs="Arial" w:eastAsia="Arial" w:hAnsi="Arial"/>
                <w:sz w:val="14"/>
                <w:szCs w:val="14"/>
                <w:b w:val="1"/>
                <w:bCs w:val="1"/>
                <w:color w:val="auto"/>
              </w:rPr>
              <w:t>2012</w:t>
            </w:r>
          </w:p>
        </w:tc>
        <w:tc>
          <w:tcPr>
            <w:tcW w:w="940" w:type="dxa"/>
            <w:vAlign w:val="bottom"/>
          </w:tcPr>
          <w:p>
            <w:pPr>
              <w:jc w:val="right"/>
              <w:spacing w:after="0"/>
              <w:rPr>
                <w:sz w:val="20"/>
                <w:szCs w:val="20"/>
                <w:color w:val="auto"/>
              </w:rPr>
            </w:pPr>
            <w:r>
              <w:rPr>
                <w:rFonts w:ascii="Arial" w:cs="Arial" w:eastAsia="Arial" w:hAnsi="Arial"/>
                <w:sz w:val="14"/>
                <w:szCs w:val="14"/>
                <w:color w:val="auto"/>
              </w:rPr>
              <w:t>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Supplemental disclosure of non-cash activity:</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ind w:left="380"/>
              <w:spacing w:after="0"/>
              <w:rPr>
                <w:sz w:val="20"/>
                <w:szCs w:val="20"/>
                <w:color w:val="auto"/>
              </w:rPr>
            </w:pPr>
            <w:r>
              <w:rPr>
                <w:rFonts w:ascii="Arial" w:cs="Arial" w:eastAsia="Arial" w:hAnsi="Arial"/>
                <w:sz w:val="18"/>
                <w:szCs w:val="18"/>
                <w:color w:val="auto"/>
              </w:rPr>
              <w:t>Increase (decrease) in obligations related to land not owned under option agreements</w:t>
            </w:r>
          </w:p>
        </w:tc>
        <w:tc>
          <w:tcPr>
            <w:tcW w:w="6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640</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(16,306)</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increase in future land purchase rights</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(11,651)</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17,220</w:t>
            </w:r>
          </w:p>
        </w:tc>
        <w:tc>
          <w:tcPr>
            <w:tcW w:w="0" w:type="dxa"/>
            <w:vAlign w:val="bottom"/>
          </w:tcPr>
          <w:p>
            <w:pPr>
              <w:spacing w:after="0"/>
              <w:rPr>
                <w:sz w:val="1"/>
                <w:szCs w:val="1"/>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Contribution of future land purchase rights to unconsolidated entitites</w:t>
            </w:r>
          </w:p>
        </w:tc>
        <w:tc>
          <w:tcPr>
            <w:tcW w:w="6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11,651</w:t>
            </w: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Decrease in debt related to conversion of Mandatory Convertible Subordinated Notes and Tangible Equity</w:t>
            </w:r>
          </w:p>
        </w:tc>
        <w:tc>
          <w:tcPr>
            <w:tcW w:w="60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(55,308)</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Units for common stock</w:t>
            </w:r>
          </w:p>
        </w:tc>
        <w:tc>
          <w:tcPr>
            <w:tcW w:w="6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vMerge w:val="continue"/>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Contribution of pre-owned net assets for investment in unconsolidated entity</w:t>
            </w: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(19,670)</w:t>
            </w: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land acquisitions</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7,813</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Issuance of stock under deferred bonus stock plans</w:t>
            </w:r>
          </w:p>
        </w:tc>
        <w:tc>
          <w:tcPr>
            <w:tcW w:w="6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cash activity:</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Interest payments</w:t>
            </w:r>
          </w:p>
        </w:tc>
        <w:tc>
          <w:tcPr>
            <w:tcW w:w="6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109,691</w:t>
            </w: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106,609</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payments</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751</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Tax refunds received</w:t>
            </w:r>
          </w:p>
        </w:tc>
        <w:tc>
          <w:tcPr>
            <w:tcW w:w="6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2,565</w:t>
            </w: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 in Unconsolidated Entities</w:t>
      </w:r>
    </w:p>
    <w:p>
      <w:pPr>
        <w:spacing w:after="0" w:line="9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 of June 30, 2012, we participated in certain land development joint ventures and other unconsolidated entities in which Beazer Homes had less than a controlling interest. During the quarter ended June 30, 2012, the Company contributed cash and its Pre-owned rental homes business for an investment in an unconsolidated entity (see Note 13 for additional information). The following table presents our investment in our unconsolidated entities, the total equity and outstanding borrowings of these unconsolidated entities, and our guarantees of these borrowings, as of June 30, 2012 and September 30, 2011: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2012</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color w:val="auto"/>
                <w:w w:val="94"/>
              </w:rPr>
              <w:t>September 30, 2011</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Beazer’s investment in unconsolidated entities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41,587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9,467</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Total equity of unconsolidated entity</w:t>
            </w:r>
          </w:p>
        </w:tc>
        <w:tc>
          <w:tcPr>
            <w:tcW w:w="26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b w:val="1"/>
                <w:bCs w:val="1"/>
                <w:color w:val="auto"/>
              </w:rPr>
              <w:t>383,616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96,966</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outstanding borrowings of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67,959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394,414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Beazer’s estimate of its maximum exposure to our repayment guarantees</w:t>
            </w:r>
          </w:p>
        </w:tc>
        <w:tc>
          <w:tcPr>
            <w:tcW w:w="26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b w:val="1"/>
                <w:bCs w:val="1"/>
                <w:color w:val="auto"/>
              </w:rPr>
              <w:t>696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17,916</w:t>
            </w:r>
          </w:p>
        </w:tc>
      </w:tr>
    </w:tbl>
    <w:p>
      <w:pPr>
        <w:spacing w:after="0" w:line="229"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For the three and nine months ended June 30, 2012 and 2011, our income (loss) from unconsolidated entity activities, the impairments of our investments in certain of our unconsolidated entities, and the overall equity in income (loss) of unconsolidated entities is as follows:</w:t>
      </w:r>
    </w:p>
    <w:p>
      <w:pPr>
        <w:spacing w:after="0" w:line="176" w:lineRule="exact"/>
        <w:rPr>
          <w:sz w:val="20"/>
          <w:szCs w:val="20"/>
          <w:color w:val="auto"/>
        </w:rPr>
      </w:pPr>
    </w:p>
    <w:tbl>
      <w:tblPr>
        <w:tblLayout w:type="fixed"/>
        <w:tblInd w:w="116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680" w:type="dxa"/>
            <w:vAlign w:val="bottom"/>
            <w:gridSpan w:val="4"/>
          </w:tcPr>
          <w:p>
            <w:pPr>
              <w:jc w:val="right"/>
              <w:ind w:right="23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51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0"/>
                <w:szCs w:val="20"/>
                <w:color w:val="auto"/>
              </w:rPr>
            </w:pPr>
            <w:r>
              <w:rPr>
                <w:rFonts w:ascii="Arial" w:cs="Arial" w:eastAsia="Arial" w:hAnsi="Arial"/>
                <w:sz w:val="18"/>
                <w:szCs w:val="18"/>
                <w:color w:val="auto"/>
              </w:rPr>
              <w:t>(In thousands)</w:t>
            </w: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w w:val="96"/>
              </w:rPr>
              <w:t>2011</w:t>
            </w: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w w:val="96"/>
              </w:rPr>
              <w:t>2011</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Continuing operations: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Income (loss) from unconsolidated entity activity</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ind w:right="16"/>
              <w:spacing w:after="0"/>
              <w:rPr>
                <w:sz w:val="20"/>
                <w:szCs w:val="20"/>
                <w:color w:val="auto"/>
              </w:rPr>
            </w:pPr>
            <w:r>
              <w:rPr>
                <w:rFonts w:ascii="Arial" w:cs="Arial" w:eastAsia="Arial" w:hAnsi="Arial"/>
                <w:sz w:val="18"/>
                <w:szCs w:val="18"/>
                <w:b w:val="1"/>
                <w:bCs w:val="1"/>
                <w:color w:val="auto"/>
              </w:rPr>
              <w:t>48</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Impairment of unconsolidated entity investment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3"/>
                <w:szCs w:val="2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5160" w:type="dxa"/>
            <w:vAlign w:val="bottom"/>
            <w:vMerge w:val="restart"/>
          </w:tcPr>
          <w:p>
            <w:pPr>
              <w:spacing w:after="0"/>
              <w:rPr>
                <w:sz w:val="20"/>
                <w:szCs w:val="20"/>
                <w:color w:val="auto"/>
              </w:rPr>
            </w:pPr>
            <w:r>
              <w:rPr>
                <w:rFonts w:ascii="Arial" w:cs="Arial" w:eastAsia="Arial" w:hAnsi="Arial"/>
                <w:sz w:val="18"/>
                <w:szCs w:val="18"/>
                <w:color w:val="auto"/>
              </w:rPr>
              <w:t>Equity in income (loss) of unconsolidated entities - continuing</w:t>
            </w: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vMerge w:val="continue"/>
          </w:tcPr>
          <w:p>
            <w:pPr>
              <w:spacing w:after="0"/>
              <w:rPr>
                <w:sz w:val="18"/>
                <w:szCs w:val="18"/>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vMerge w:val="restart"/>
          </w:tcPr>
          <w:p>
            <w:pPr>
              <w:jc w:val="right"/>
              <w:ind w:right="16"/>
              <w:spacing w:after="0"/>
              <w:rPr>
                <w:sz w:val="20"/>
                <w:szCs w:val="20"/>
                <w:color w:val="auto"/>
              </w:rPr>
            </w:pPr>
            <w:r>
              <w:rPr>
                <w:rFonts w:ascii="Arial" w:cs="Arial" w:eastAsia="Arial" w:hAnsi="Arial"/>
                <w:sz w:val="18"/>
                <w:szCs w:val="18"/>
                <w:b w:val="1"/>
                <w:bCs w:val="1"/>
                <w:color w:val="auto"/>
              </w:rPr>
              <w:t>48</w:t>
            </w:r>
          </w:p>
        </w:tc>
        <w:tc>
          <w:tcPr>
            <w:tcW w:w="12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ind w:right="13"/>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ind w:right="13"/>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42"/>
        </w:trPr>
        <w:tc>
          <w:tcPr>
            <w:tcW w:w="5160" w:type="dxa"/>
            <w:vAlign w:val="bottom"/>
          </w:tcPr>
          <w:p>
            <w:pPr>
              <w:spacing w:after="0"/>
              <w:rPr>
                <w:sz w:val="20"/>
                <w:szCs w:val="20"/>
                <w:color w:val="auto"/>
              </w:rPr>
            </w:pPr>
            <w:r>
              <w:rPr>
                <w:rFonts w:ascii="Arial" w:cs="Arial" w:eastAsia="Arial" w:hAnsi="Arial"/>
                <w:sz w:val="18"/>
                <w:szCs w:val="18"/>
                <w:color w:val="auto"/>
              </w:rPr>
              <w:t>operations</w:t>
            </w:r>
          </w:p>
        </w:tc>
        <w:tc>
          <w:tcPr>
            <w:tcW w:w="200" w:type="dxa"/>
            <w:vAlign w:val="bottom"/>
            <w:tcBorders>
              <w:bottom w:val="single" w:sz="8" w:color="auto"/>
            </w:tcBorders>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Reported in loss from discontinued operations, net of tax:</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Loss from unconsolidated entity activity</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Impairment of unconsolidated entity investment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Pr>
          <w:p>
            <w:pPr>
              <w:spacing w:after="0"/>
              <w:rPr>
                <w:sz w:val="20"/>
                <w:szCs w:val="20"/>
                <w:color w:val="auto"/>
              </w:rPr>
            </w:pPr>
            <w:r>
              <w:rPr>
                <w:rFonts w:ascii="Arial" w:cs="Arial" w:eastAsia="Arial" w:hAnsi="Arial"/>
                <w:sz w:val="18"/>
                <w:szCs w:val="18"/>
                <w:color w:val="auto"/>
                <w:w w:val="98"/>
              </w:rPr>
              <w:t>Equity in loss of unconsolidated entities - discontinued operations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520"/>
              <w:spacing w:after="0"/>
              <w:rPr>
                <w:sz w:val="20"/>
                <w:szCs w:val="20"/>
                <w:color w:val="auto"/>
              </w:rPr>
            </w:pPr>
            <w:r>
              <w:rPr>
                <w:rFonts w:ascii="Arial" w:cs="Arial" w:eastAsia="Arial" w:hAnsi="Arial"/>
                <w:sz w:val="14"/>
                <w:szCs w:val="14"/>
                <w:color w:val="auto"/>
              </w:rPr>
              <w:t>8</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6"/>
        </w:trPr>
        <w:tc>
          <w:tcPr>
            <w:tcW w:w="5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Edge/Inspirada</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December 9, 2010, lenders filed an involuntary bankruptcy petition against the South Edge joint venture (South Edge), which was granted by the court in February 2011. Effective June 10, 2011, the Company and certain other joint venture members (the Participating Members) entered into a settlement agreement with the lenders. Based on the terms of the agreement, the Company paid the lenders $15.9 million during the nine months ended June 30, 2012 under the plan of reorganization.</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plan of reorganization resulted in the formation of a new joint venture called Inspirada, LLC (Inspirada), with the Participating Members constituting the members of the new venture. Inspirada took title to the South Edge assets including its real property and lien rights, and the debt to the lenders was extinguished upon payment by the Inspirada members, including the Company, of their obligations under the plan of reorganization. In connection with these payments by the Inspirada members, all the South Edge repayment guarantees were released. The Participating Members also acquired all claims of the lender and South Edge against the non-Participating Members. As a result of the plan of reorganization and the formation of Inspirada, our right to future land purchases is a component of our investment in Inspirada. As such, we have recorded an investment in Inspirada, which includes the $11.7 million we previously estimated for our future right to purchase land and our cash contributions to the joint venture, primarily for organization costs. For the nine months ended June 30, 2012, there was no impact to our net loss related to these transactions. In addition to our initial payment, we, as a member of the Inspirada joint venture, will have obligations for future infrastructure and other development costs. At this time, these costs cannot be quantified due to, among other things, uncertainty over the future development configuration of the project and the related costs, market conditions, uncertainty over the remaining infrastructure deposits and previously filed bankruptcies of other joint venture members. In addition, there are uncertainties with respect to the location and density of the land we will receive as a result of our investment in Inspirada, the products we will build on such land and the estimated selling prices of such homes. Because there are uncertainties with respect to development costs, the value of the lien rights or title to our share of the underlying property, we may be required to record adjustments to the carrying value of this Inspirada investment in future periods as better information becomes available.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90"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Our land development joint ventures typically obtain secured acquisition, development and construction financing. Generally, Beazer and our land development joint ventures partners provide varying levels of guarantees of debt and other obligations for these unconsolidated entities. At June 30, 2012, these guarantees included, for certain unconsolidated entities, repayment guarantees and environmental indemnities.</w:t>
      </w:r>
    </w:p>
    <w:p>
      <w:pPr>
        <w:spacing w:after="0" w:line="11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June 30, 2012, we and our joint venture partners have a repayment guarantee related to one of our unconsolidated entity’s borrowings. This repayment guarantee requires the repayment of a portion of the debt of the unconsolidated entity in the event the unconsolidated entity defaults on its obligations under the borrowing. Our estimate of Beazer’s maximum exposure to this repayment guarantee related to the outstanding debt of the unconsolidated entity was $0.7 million at June 30, 2012. As of June 30, 2012, $0.7 million has been recorded in Other Liabilities related to our repayment guarantee. We and our joint venture partners also generally provide unsecured environmental indemnities to land development joint ventures project lenders. In each case, we have performed due diligence on potential environmental risks. These indemnities obligate us to reimburse the project lenders for claims related to environmental matters for which they are held responsible. During the nine months ended June 30, 2012 and 2011, we were not required to make any payments related to environmental indemnities.</w:t>
      </w:r>
    </w:p>
    <w:p>
      <w:pPr>
        <w:spacing w:after="0" w:line="138"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In assessing the need to record a liability for the contingent aspect of these guarantees, we consider our historical experience in being required to perform under the guarantees, the fair value of the collateral underlying these guarantees and the financial condition of the applicable unconsolidated entities. In addition, we monitor the fair value of the collateral of these unconsolidated entities to ensure that the related borrowings do not exceed the specified percentage of the value of the property securing the borrowings. We have recorded a liability for guarantees we determined were probable and reasonably estimable, but we have not recorded a liability for the contingent aspects of any guarantees that we determined were reasonably possible but not probable.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2012</w:t>
            </w:r>
          </w:p>
        </w:tc>
        <w:tc>
          <w:tcPr>
            <w:tcW w:w="160" w:type="dxa"/>
            <w:vAlign w:val="bottom"/>
          </w:tcPr>
          <w:p>
            <w:pPr>
              <w:spacing w:after="0"/>
              <w:rPr>
                <w:sz w:val="16"/>
                <w:szCs w:val="16"/>
                <w:color w:val="auto"/>
              </w:rPr>
            </w:pPr>
          </w:p>
        </w:tc>
        <w:tc>
          <w:tcPr>
            <w:tcW w:w="1360" w:type="dxa"/>
            <w:vAlign w:val="bottom"/>
          </w:tcPr>
          <w:p>
            <w:pPr>
              <w:jc w:val="right"/>
              <w:ind w:right="92"/>
              <w:spacing w:after="0"/>
              <w:rPr>
                <w:sz w:val="20"/>
                <w:szCs w:val="20"/>
                <w:color w:val="auto"/>
              </w:rPr>
            </w:pPr>
            <w:r>
              <w:rPr>
                <w:rFonts w:ascii="Arial" w:cs="Arial" w:eastAsia="Arial" w:hAnsi="Arial"/>
                <w:sz w:val="14"/>
                <w:szCs w:val="14"/>
                <w:color w:val="auto"/>
                <w:w w:val="91"/>
              </w:rPr>
              <w:t>September 30, 2011</w:t>
            </w:r>
          </w:p>
        </w:tc>
      </w:tr>
      <w:tr>
        <w:trPr>
          <w:trHeight w:val="250"/>
        </w:trPr>
        <w:tc>
          <w:tcPr>
            <w:tcW w:w="7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Homes under construction</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316,117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277,331</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Development projects in progress</w:t>
            </w:r>
          </w:p>
        </w:tc>
        <w:tc>
          <w:tcPr>
            <w:tcW w:w="2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b w:val="1"/>
                <w:bCs w:val="1"/>
                <w:color w:val="auto"/>
              </w:rPr>
              <w:t>384,991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424,055</w:t>
            </w:r>
          </w:p>
        </w:tc>
      </w:tr>
      <w:tr>
        <w:trPr>
          <w:trHeight w:val="27"/>
        </w:trPr>
        <w:tc>
          <w:tcPr>
            <w:tcW w:w="7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held for future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386,353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384,761</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Land held for sale</w:t>
            </w:r>
          </w:p>
        </w:tc>
        <w:tc>
          <w:tcPr>
            <w:tcW w:w="2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b w:val="1"/>
                <w:bCs w:val="1"/>
                <w:color w:val="auto"/>
              </w:rPr>
              <w:t>10,852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12,837</w:t>
            </w:r>
          </w:p>
        </w:tc>
      </w:tr>
      <w:tr>
        <w:trPr>
          <w:trHeight w:val="27"/>
        </w:trPr>
        <w:tc>
          <w:tcPr>
            <w:tcW w:w="7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interest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45,373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45,973</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Model homes</w:t>
            </w:r>
          </w:p>
        </w:tc>
        <w:tc>
          <w:tcPr>
            <w:tcW w:w="2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b w:val="1"/>
                <w:bCs w:val="1"/>
                <w:color w:val="auto"/>
              </w:rPr>
              <w:t>43,131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47,423</w:t>
            </w:r>
          </w:p>
        </w:tc>
      </w:tr>
      <w:tr>
        <w:trPr>
          <w:trHeight w:val="27"/>
        </w:trPr>
        <w:tc>
          <w:tcPr>
            <w:tcW w:w="7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7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owned inventory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1,186,817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1,192,380</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Homes under construction includes homes finished and ready for delivery and homes in various stages of construction. We had 137 ($28.5 million) and 334 ($59.3 million) substantially completed homes that were not subject to a sales contract (spec homes) at June 30, 2012 and September 30, 2011, respectively. Development projects in progress consist principally of land and land improvement costs. Certain of the fully developed lots in this category are reserved by a deposit or sales contract. Land held for future development consists of communities for which construction and development activities are expected to occur in the future or have been idled and are stated at cost unless facts and circumstances indicate that the carrying value of the assets may not be recoverable. All applicable interest and real estate taxes on land held for future development are expensed as incurred. Land held for sale in Unallocated and Other as of June 30, 2012 included land held for sale in the markets we have decided to exit including Jacksonville, Florida and Charlotte, North Carolina. Total owned inventory, by reportable segment, is set forth in the table below:</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Projects in</w:t>
            </w: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Held for Future</w:t>
            </w:r>
          </w:p>
        </w:tc>
        <w:tc>
          <w:tcPr>
            <w:tcW w:w="2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Land Held</w:t>
            </w:r>
          </w:p>
        </w:tc>
        <w:tc>
          <w:tcPr>
            <w:tcW w:w="220" w:type="dxa"/>
            <w:vAlign w:val="bottom"/>
          </w:tcPr>
          <w:p>
            <w:pPr>
              <w:spacing w:after="0"/>
              <w:rPr>
                <w:sz w:val="14"/>
                <w:szCs w:val="14"/>
                <w:color w:val="auto"/>
              </w:rPr>
            </w:pPr>
          </w:p>
        </w:tc>
        <w:tc>
          <w:tcPr>
            <w:tcW w:w="1200" w:type="dxa"/>
            <w:vAlign w:val="bottom"/>
          </w:tcPr>
          <w:p>
            <w:pPr>
              <w:jc w:val="right"/>
              <w:ind w:right="213"/>
              <w:spacing w:after="0"/>
              <w:rPr>
                <w:sz w:val="20"/>
                <w:szCs w:val="20"/>
                <w:color w:val="auto"/>
              </w:rPr>
            </w:pPr>
            <w:r>
              <w:rPr>
                <w:rFonts w:ascii="Arial" w:cs="Arial" w:eastAsia="Arial" w:hAnsi="Arial"/>
                <w:sz w:val="14"/>
                <w:szCs w:val="14"/>
                <w:b w:val="1"/>
                <w:bCs w:val="1"/>
                <w:color w:val="auto"/>
              </w:rPr>
              <w:t>Total Owned</w:t>
            </w:r>
          </w:p>
        </w:tc>
      </w:tr>
      <w:tr>
        <w:trPr>
          <w:trHeight w:val="192"/>
        </w:trPr>
        <w:tc>
          <w:tcPr>
            <w:tcW w:w="4820" w:type="dxa"/>
            <w:vAlign w:val="bottom"/>
          </w:tcPr>
          <w:p>
            <w:pPr>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Progress</w:t>
            </w: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Development</w:t>
            </w:r>
          </w:p>
        </w:tc>
        <w:tc>
          <w:tcPr>
            <w:tcW w:w="24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for Sale</w:t>
            </w:r>
          </w:p>
        </w:tc>
        <w:tc>
          <w:tcPr>
            <w:tcW w:w="220" w:type="dxa"/>
            <w:vAlign w:val="bottom"/>
          </w:tcPr>
          <w:p>
            <w:pPr>
              <w:spacing w:after="0"/>
              <w:rPr>
                <w:sz w:val="16"/>
                <w:szCs w:val="16"/>
                <w:color w:val="auto"/>
              </w:rPr>
            </w:pPr>
          </w:p>
        </w:tc>
        <w:tc>
          <w:tcPr>
            <w:tcW w:w="1200" w:type="dxa"/>
            <w:vAlign w:val="bottom"/>
          </w:tcPr>
          <w:p>
            <w:pPr>
              <w:jc w:val="right"/>
              <w:ind w:right="313"/>
              <w:spacing w:after="0"/>
              <w:rPr>
                <w:sz w:val="20"/>
                <w:szCs w:val="20"/>
                <w:color w:val="auto"/>
              </w:rPr>
            </w:pPr>
            <w:r>
              <w:rPr>
                <w:rFonts w:ascii="Arial" w:cs="Arial" w:eastAsia="Arial" w:hAnsi="Arial"/>
                <w:sz w:val="14"/>
                <w:szCs w:val="14"/>
                <w:b w:val="1"/>
                <w:bCs w:val="1"/>
                <w:color w:val="auto"/>
              </w:rPr>
              <w:t>Inventory</w:t>
            </w:r>
          </w:p>
        </w:tc>
      </w:tr>
      <w:tr>
        <w:trPr>
          <w:trHeight w:val="250"/>
        </w:trPr>
        <w:tc>
          <w:tcPr>
            <w:tcW w:w="4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June 30, 2012</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West Segment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b w:val="1"/>
                <w:bCs w:val="1"/>
                <w:color w:val="auto"/>
              </w:rPr>
              <w:t>284,805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b w:val="1"/>
                <w:bCs w:val="1"/>
                <w:color w:val="auto"/>
              </w:rPr>
              <w:t>318,349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2,592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605,746</w:t>
            </w: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East Segment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295,985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44,692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3,505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344,182</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Southeast Segment</w:t>
            </w:r>
          </w:p>
        </w:tc>
        <w:tc>
          <w:tcPr>
            <w:tcW w:w="2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b w:val="1"/>
                <w:bCs w:val="1"/>
                <w:color w:val="auto"/>
              </w:rPr>
              <w:t>136,965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b w:val="1"/>
                <w:bCs w:val="1"/>
                <w:color w:val="auto"/>
              </w:rPr>
              <w:t>23,312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1,675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161,952</w:t>
            </w: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Unallocated &amp; Other</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71,857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3,080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74,937</w:t>
            </w:r>
          </w:p>
        </w:tc>
      </w:tr>
      <w:tr>
        <w:trPr>
          <w:trHeight w:val="237"/>
        </w:trPr>
        <w:tc>
          <w:tcPr>
            <w:tcW w:w="482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789,612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386,353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10,852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1,186,817</w:t>
            </w:r>
          </w:p>
        </w:tc>
      </w:tr>
      <w:tr>
        <w:trPr>
          <w:trHeight w:val="67"/>
        </w:trPr>
        <w:tc>
          <w:tcPr>
            <w:tcW w:w="48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48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i w:val="1"/>
                <w:iCs w:val="1"/>
                <w:color w:val="auto"/>
              </w:rPr>
              <w:t>September 30, 2011</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West Segment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294,208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318,732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2,681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615,621</w:t>
            </w: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 Segment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304,648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41,993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351,697</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Southeast Segment</w:t>
            </w:r>
          </w:p>
        </w:tc>
        <w:tc>
          <w:tcPr>
            <w:tcW w:w="2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122,126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24,036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146,237</w:t>
            </w: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&amp; Other</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73,800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78,825</w:t>
            </w:r>
          </w:p>
        </w:tc>
      </w:tr>
      <w:tr>
        <w:trPr>
          <w:trHeight w:val="237"/>
        </w:trPr>
        <w:tc>
          <w:tcPr>
            <w:tcW w:w="482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794,782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384,761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12,837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1,192,380</w:t>
            </w:r>
          </w:p>
        </w:tc>
      </w:tr>
      <w:tr>
        <w:trPr>
          <w:trHeight w:val="27"/>
        </w:trPr>
        <w:tc>
          <w:tcPr>
            <w:tcW w:w="4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Inventory Impairments. </w:t>
      </w:r>
      <w:r>
        <w:rPr>
          <w:rFonts w:ascii="Arial" w:cs="Arial" w:eastAsia="Arial" w:hAnsi="Arial"/>
          <w:sz w:val="18"/>
          <w:szCs w:val="18"/>
          <w:color w:val="auto"/>
        </w:rPr>
        <w:t>When conducting our community level review for the recoverability of our homebuilding inventories held for development, we</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 a quarterly “watch list” of communities with more than 10 homes remaining that carry profit margins in backlog and in our forecast that are below a minimum threshold of profitability. Assets on the quarterly watch list are subject to substantial additional financial and operational analyses and review that consider the competitive environment and other factors contributing to profit margins below our watch list threshold. For communities where the current competitive and market dynamics indicate that these factors may be other than temporary, which may call into question the recoverability of our investment, a formal impairment analysis is performed. The formal impairment analysis consists of both qualitative competitive market analyses and a quantitative analysis reflecting market and asset specific information.</w:t>
      </w:r>
    </w:p>
    <w:p>
      <w:pPr>
        <w:spacing w:after="0" w:line="13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our impairment analyses for the quarter ended June 30, 2012, we have assumed limited market improvements in some communities beginning in fiscal 2014 and continuing improvement in these communities in subsequent years. For any communities scheduled to close out in fiscal 2013, we did not assume any market improvements. The discount rate used may be different for each community and ranged from 11.8% to 16.1% for the communities analyzed in the quarter ended June 30, 2012 and 14.6% to 16.3% for the quarter ended June 30, 2011. The following tables represent the results, by reportable segment of our community level review of the recoverability of our inventory assets held for development as of June 30, 2012, and 2011 ($ in thousands). We have elected to aggregate our disclosure at the reportable segment level because we believe this level of disclosure is most meaningful to the readers of our financial statements. The aggregate undiscounted cash flow fair value as a percentage of book value for the communities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represented below is consistent with our expectations given our “watch list” methodology.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color w:val="auto"/>
                <w:w w:val="93"/>
              </w:rPr>
              <w:t>Undiscounted Cash Flow Analyses Prepared</w:t>
            </w:r>
          </w:p>
        </w:tc>
        <w:tc>
          <w:tcPr>
            <w:tcW w:w="1420" w:type="dxa"/>
            <w:vAlign w:val="bottom"/>
            <w:tcBorders>
              <w:bottom w:val="single" w:sz="8" w:color="auto"/>
            </w:tcBorders>
          </w:tcPr>
          <w:p>
            <w:pPr>
              <w:spacing w:after="0"/>
              <w:rPr>
                <w:sz w:val="16"/>
                <w:szCs w:val="16"/>
                <w:color w:val="auto"/>
              </w:rPr>
            </w:pPr>
          </w:p>
        </w:tc>
      </w:tr>
      <w:tr>
        <w:trPr>
          <w:trHeight w:val="156"/>
        </w:trPr>
        <w:tc>
          <w:tcPr>
            <w:tcW w:w="28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jc w:val="center"/>
              <w:ind w:right="335"/>
              <w:spacing w:after="0" w:line="157" w:lineRule="exact"/>
              <w:rPr>
                <w:sz w:val="20"/>
                <w:szCs w:val="20"/>
                <w:color w:val="auto"/>
              </w:rPr>
            </w:pPr>
            <w:r>
              <w:rPr>
                <w:rFonts w:ascii="Arial" w:cs="Arial" w:eastAsia="Arial" w:hAnsi="Arial"/>
                <w:sz w:val="14"/>
                <w:szCs w:val="14"/>
                <w:color w:val="auto"/>
                <w:w w:val="92"/>
              </w:rPr>
              <w:t>Aggregate</w:t>
            </w:r>
          </w:p>
        </w:tc>
      </w:tr>
      <w:tr>
        <w:trPr>
          <w:trHeight w:val="149"/>
        </w:trPr>
        <w:tc>
          <w:tcPr>
            <w:tcW w:w="2880" w:type="dxa"/>
            <w:vAlign w:val="bottom"/>
          </w:tcPr>
          <w:p>
            <w:pPr>
              <w:spacing w:after="0"/>
              <w:rPr>
                <w:sz w:val="12"/>
                <w:szCs w:val="12"/>
                <w:color w:val="auto"/>
              </w:rPr>
            </w:pPr>
          </w:p>
        </w:tc>
        <w:tc>
          <w:tcPr>
            <w:tcW w:w="1360" w:type="dxa"/>
            <w:vAlign w:val="bottom"/>
          </w:tcPr>
          <w:p>
            <w:pPr>
              <w:jc w:val="center"/>
              <w:ind w:left="308"/>
              <w:spacing w:after="0" w:line="149" w:lineRule="exact"/>
              <w:rPr>
                <w:sz w:val="20"/>
                <w:szCs w:val="20"/>
                <w:color w:val="auto"/>
              </w:rPr>
            </w:pPr>
            <w:r>
              <w:rPr>
                <w:rFonts w:ascii="Arial" w:cs="Arial" w:eastAsia="Arial" w:hAnsi="Arial"/>
                <w:sz w:val="14"/>
                <w:szCs w:val="14"/>
                <w:color w:val="auto"/>
                <w:w w:val="94"/>
              </w:rPr>
              <w:t># of</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40" w:type="dxa"/>
            <w:vAlign w:val="bottom"/>
            <w:gridSpan w:val="3"/>
          </w:tcPr>
          <w:p>
            <w:pPr>
              <w:jc w:val="center"/>
              <w:ind w:right="840"/>
              <w:spacing w:after="0" w:line="149" w:lineRule="exact"/>
              <w:rPr>
                <w:sz w:val="20"/>
                <w:szCs w:val="20"/>
                <w:color w:val="auto"/>
              </w:rPr>
            </w:pPr>
            <w:r>
              <w:rPr>
                <w:rFonts w:ascii="Arial" w:cs="Arial" w:eastAsia="Arial" w:hAnsi="Arial"/>
                <w:sz w:val="14"/>
                <w:szCs w:val="14"/>
                <w:color w:val="auto"/>
                <w:w w:val="90"/>
              </w:rPr>
              <w:t>Pre-analysis</w:t>
            </w:r>
          </w:p>
        </w:tc>
        <w:tc>
          <w:tcPr>
            <w:tcW w:w="1420" w:type="dxa"/>
            <w:vAlign w:val="bottom"/>
          </w:tcPr>
          <w:p>
            <w:pPr>
              <w:jc w:val="center"/>
              <w:ind w:right="335"/>
              <w:spacing w:after="0" w:line="149" w:lineRule="exact"/>
              <w:rPr>
                <w:sz w:val="20"/>
                <w:szCs w:val="20"/>
                <w:color w:val="auto"/>
              </w:rPr>
            </w:pPr>
            <w:r>
              <w:rPr>
                <w:rFonts w:ascii="Arial" w:cs="Arial" w:eastAsia="Arial" w:hAnsi="Arial"/>
                <w:sz w:val="14"/>
                <w:szCs w:val="14"/>
                <w:color w:val="auto"/>
                <w:w w:val="93"/>
              </w:rPr>
              <w:t>Undiscounted</w:t>
            </w:r>
          </w:p>
        </w:tc>
      </w:tr>
      <w:tr>
        <w:trPr>
          <w:trHeight w:val="149"/>
        </w:trPr>
        <w:tc>
          <w:tcPr>
            <w:tcW w:w="2880" w:type="dxa"/>
            <w:vAlign w:val="bottom"/>
          </w:tcPr>
          <w:p>
            <w:pPr>
              <w:spacing w:after="0"/>
              <w:rPr>
                <w:sz w:val="12"/>
                <w:szCs w:val="12"/>
                <w:color w:val="auto"/>
              </w:rPr>
            </w:pPr>
          </w:p>
        </w:tc>
        <w:tc>
          <w:tcPr>
            <w:tcW w:w="1360" w:type="dxa"/>
            <w:vAlign w:val="bottom"/>
          </w:tcPr>
          <w:p>
            <w:pPr>
              <w:jc w:val="center"/>
              <w:ind w:left="308"/>
              <w:spacing w:after="0" w:line="149" w:lineRule="exact"/>
              <w:rPr>
                <w:sz w:val="20"/>
                <w:szCs w:val="20"/>
                <w:color w:val="auto"/>
              </w:rPr>
            </w:pPr>
            <w:r>
              <w:rPr>
                <w:rFonts w:ascii="Arial" w:cs="Arial" w:eastAsia="Arial" w:hAnsi="Arial"/>
                <w:sz w:val="14"/>
                <w:szCs w:val="14"/>
                <w:color w:val="auto"/>
                <w:w w:val="95"/>
              </w:rPr>
              <w:t>Communities</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60" w:type="dxa"/>
            <w:vAlign w:val="bottom"/>
          </w:tcPr>
          <w:p>
            <w:pPr>
              <w:jc w:val="center"/>
              <w:ind w:left="328"/>
              <w:spacing w:after="0" w:line="149" w:lineRule="exact"/>
              <w:rPr>
                <w:sz w:val="20"/>
                <w:szCs w:val="20"/>
                <w:color w:val="auto"/>
              </w:rPr>
            </w:pPr>
            <w:r>
              <w:rPr>
                <w:rFonts w:ascii="Arial" w:cs="Arial" w:eastAsia="Arial" w:hAnsi="Arial"/>
                <w:sz w:val="14"/>
                <w:szCs w:val="14"/>
                <w:color w:val="auto"/>
              </w:rPr>
              <w:t># of</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40" w:type="dxa"/>
            <w:vAlign w:val="bottom"/>
            <w:gridSpan w:val="3"/>
          </w:tcPr>
          <w:p>
            <w:pPr>
              <w:jc w:val="center"/>
              <w:ind w:right="860"/>
              <w:spacing w:after="0" w:line="149" w:lineRule="exact"/>
              <w:rPr>
                <w:sz w:val="20"/>
                <w:szCs w:val="20"/>
                <w:color w:val="auto"/>
              </w:rPr>
            </w:pPr>
            <w:r>
              <w:rPr>
                <w:rFonts w:ascii="Arial" w:cs="Arial" w:eastAsia="Arial" w:hAnsi="Arial"/>
                <w:sz w:val="14"/>
                <w:szCs w:val="14"/>
                <w:color w:val="auto"/>
                <w:w w:val="94"/>
              </w:rPr>
              <w:t>Book Value</w:t>
            </w:r>
          </w:p>
        </w:tc>
        <w:tc>
          <w:tcPr>
            <w:tcW w:w="1420" w:type="dxa"/>
            <w:vAlign w:val="bottom"/>
          </w:tcPr>
          <w:p>
            <w:pPr>
              <w:jc w:val="center"/>
              <w:ind w:right="335"/>
              <w:spacing w:after="0" w:line="149" w:lineRule="exact"/>
              <w:rPr>
                <w:sz w:val="20"/>
                <w:szCs w:val="20"/>
                <w:color w:val="auto"/>
              </w:rPr>
            </w:pPr>
            <w:r>
              <w:rPr>
                <w:rFonts w:ascii="Arial" w:cs="Arial" w:eastAsia="Arial" w:hAnsi="Arial"/>
                <w:sz w:val="14"/>
                <w:szCs w:val="14"/>
                <w:color w:val="auto"/>
                <w:w w:val="91"/>
              </w:rPr>
              <w:t>Cash Flow as a</w:t>
            </w:r>
          </w:p>
        </w:tc>
      </w:tr>
      <w:tr>
        <w:trPr>
          <w:trHeight w:val="188"/>
        </w:trPr>
        <w:tc>
          <w:tcPr>
            <w:tcW w:w="2880" w:type="dxa"/>
            <w:vAlign w:val="bottom"/>
          </w:tcPr>
          <w:p>
            <w:pPr>
              <w:ind w:left="40"/>
              <w:spacing w:after="0"/>
              <w:rPr>
                <w:sz w:val="20"/>
                <w:szCs w:val="20"/>
                <w:color w:val="auto"/>
              </w:rPr>
            </w:pPr>
            <w:r>
              <w:rPr>
                <w:rFonts w:ascii="Arial" w:cs="Arial" w:eastAsia="Arial" w:hAnsi="Arial"/>
                <w:sz w:val="14"/>
                <w:szCs w:val="14"/>
                <w:color w:val="auto"/>
              </w:rPr>
              <w:t>Segment</w:t>
            </w:r>
          </w:p>
        </w:tc>
        <w:tc>
          <w:tcPr>
            <w:tcW w:w="1360" w:type="dxa"/>
            <w:vAlign w:val="bottom"/>
          </w:tcPr>
          <w:p>
            <w:pPr>
              <w:jc w:val="center"/>
              <w:ind w:left="288"/>
              <w:spacing w:after="0"/>
              <w:rPr>
                <w:sz w:val="20"/>
                <w:szCs w:val="20"/>
                <w:color w:val="auto"/>
              </w:rPr>
            </w:pPr>
            <w:r>
              <w:rPr>
                <w:rFonts w:ascii="Arial" w:cs="Arial" w:eastAsia="Arial" w:hAnsi="Arial"/>
                <w:sz w:val="14"/>
                <w:szCs w:val="14"/>
                <w:color w:val="auto"/>
                <w:w w:val="94"/>
              </w:rPr>
              <w:t>on Watch List</w:t>
            </w: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60" w:type="dxa"/>
            <w:vAlign w:val="bottom"/>
          </w:tcPr>
          <w:p>
            <w:pPr>
              <w:jc w:val="center"/>
              <w:ind w:left="328"/>
              <w:spacing w:after="0"/>
              <w:rPr>
                <w:sz w:val="20"/>
                <w:szCs w:val="20"/>
                <w:color w:val="auto"/>
              </w:rPr>
            </w:pPr>
            <w:r>
              <w:rPr>
                <w:rFonts w:ascii="Arial" w:cs="Arial" w:eastAsia="Arial" w:hAnsi="Arial"/>
                <w:sz w:val="14"/>
                <w:szCs w:val="14"/>
                <w:color w:val="auto"/>
                <w:w w:val="92"/>
              </w:rPr>
              <w:t>Communities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gridSpan w:val="3"/>
          </w:tcPr>
          <w:p>
            <w:pPr>
              <w:jc w:val="center"/>
              <w:ind w:right="840"/>
              <w:spacing w:after="0"/>
              <w:rPr>
                <w:sz w:val="20"/>
                <w:szCs w:val="20"/>
                <w:color w:val="auto"/>
              </w:rPr>
            </w:pPr>
            <w:r>
              <w:rPr>
                <w:rFonts w:ascii="Arial" w:cs="Arial" w:eastAsia="Arial" w:hAnsi="Arial"/>
                <w:sz w:val="14"/>
                <w:szCs w:val="14"/>
                <w:color w:val="auto"/>
              </w:rPr>
              <w:t>(BV)</w:t>
            </w:r>
          </w:p>
        </w:tc>
        <w:tc>
          <w:tcPr>
            <w:tcW w:w="1420" w:type="dxa"/>
            <w:vAlign w:val="bottom"/>
          </w:tcPr>
          <w:p>
            <w:pPr>
              <w:jc w:val="center"/>
              <w:ind w:right="335"/>
              <w:spacing w:after="0"/>
              <w:rPr>
                <w:sz w:val="20"/>
                <w:szCs w:val="20"/>
                <w:color w:val="auto"/>
              </w:rPr>
            </w:pPr>
            <w:r>
              <w:rPr>
                <w:rFonts w:ascii="Arial" w:cs="Arial" w:eastAsia="Arial" w:hAnsi="Arial"/>
                <w:sz w:val="14"/>
                <w:szCs w:val="14"/>
                <w:color w:val="auto"/>
              </w:rPr>
              <w:t>% of BV</w:t>
            </w:r>
          </w:p>
        </w:tc>
      </w:tr>
      <w:tr>
        <w:trPr>
          <w:trHeight w:val="250"/>
        </w:trPr>
        <w:tc>
          <w:tcPr>
            <w:tcW w:w="2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Quarter Ended June 30, 2012</w:t>
            </w: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West</w:t>
            </w:r>
          </w:p>
        </w:tc>
        <w:tc>
          <w:tcPr>
            <w:tcW w:w="13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b w:val="1"/>
                <w:bCs w:val="1"/>
                <w:color w:val="auto"/>
              </w:rPr>
              <w:t>6,196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ind w:left="900"/>
              <w:spacing w:after="0"/>
              <w:rPr>
                <w:sz w:val="20"/>
                <w:szCs w:val="20"/>
                <w:color w:val="auto"/>
              </w:rPr>
            </w:pPr>
            <w:r>
              <w:rPr>
                <w:rFonts w:ascii="Arial" w:cs="Arial" w:eastAsia="Arial" w:hAnsi="Arial"/>
                <w:sz w:val="18"/>
                <w:szCs w:val="18"/>
                <w:b w:val="1"/>
                <w:bCs w:val="1"/>
                <w:color w:val="auto"/>
                <w:w w:val="97"/>
              </w:rPr>
              <w:t>81.3%</w:t>
            </w:r>
          </w:p>
        </w:tc>
      </w:tr>
      <w:tr>
        <w:trPr>
          <w:trHeight w:val="27"/>
        </w:trPr>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East</w:t>
            </w:r>
          </w:p>
        </w:tc>
        <w:tc>
          <w:tcPr>
            <w:tcW w:w="1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7,144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b w:val="1"/>
                <w:bCs w:val="1"/>
                <w:color w:val="auto"/>
                <w:w w:val="97"/>
              </w:rPr>
              <w:t>57.1%</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Southeast</w:t>
            </w:r>
          </w:p>
        </w:tc>
        <w:tc>
          <w:tcPr>
            <w:tcW w:w="13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b w:val="1"/>
                <w:bCs w:val="1"/>
                <w:color w:val="auto"/>
              </w:rPr>
              <w:t>3,087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ind w:left="900"/>
              <w:spacing w:after="0"/>
              <w:rPr>
                <w:sz w:val="20"/>
                <w:szCs w:val="20"/>
                <w:color w:val="auto"/>
              </w:rPr>
            </w:pPr>
            <w:r>
              <w:rPr>
                <w:rFonts w:ascii="Arial" w:cs="Arial" w:eastAsia="Arial" w:hAnsi="Arial"/>
                <w:sz w:val="18"/>
                <w:szCs w:val="18"/>
                <w:b w:val="1"/>
                <w:bCs w:val="1"/>
                <w:color w:val="auto"/>
                <w:w w:val="97"/>
              </w:rPr>
              <w:t>79.0%</w:t>
            </w:r>
          </w:p>
        </w:tc>
      </w:tr>
      <w:tr>
        <w:trPr>
          <w:trHeight w:val="27"/>
        </w:trPr>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Unallocated</w:t>
            </w:r>
          </w:p>
        </w:tc>
        <w:tc>
          <w:tcPr>
            <w:tcW w:w="136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gridSpan w:val="3"/>
            <w:shd w:val="clear" w:color="auto" w:fill="CCEEFF"/>
          </w:tcPr>
          <w:p>
            <w:pPr>
              <w:jc w:val="right"/>
              <w:ind w:right="2148"/>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1,228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b w:val="1"/>
                <w:bCs w:val="1"/>
                <w:color w:val="auto"/>
              </w:rPr>
              <w:t>n/a</w:t>
            </w:r>
          </w:p>
        </w:tc>
      </w:tr>
      <w:tr>
        <w:trPr>
          <w:trHeight w:val="237"/>
        </w:trPr>
        <w:tc>
          <w:tcPr>
            <w:tcW w:w="2880" w:type="dxa"/>
            <w:vAlign w:val="bottom"/>
          </w:tcPr>
          <w:p>
            <w:pPr>
              <w:ind w:left="280"/>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w:t>
            </w:r>
          </w:p>
        </w:tc>
        <w:tc>
          <w:tcPr>
            <w:tcW w:w="74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17,655</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ind w:left="900"/>
              <w:spacing w:after="0"/>
              <w:rPr>
                <w:sz w:val="20"/>
                <w:szCs w:val="20"/>
                <w:color w:val="auto"/>
              </w:rPr>
            </w:pPr>
            <w:r>
              <w:rPr>
                <w:rFonts w:ascii="Arial" w:cs="Arial" w:eastAsia="Arial" w:hAnsi="Arial"/>
                <w:sz w:val="18"/>
                <w:szCs w:val="18"/>
                <w:b w:val="1"/>
                <w:bCs w:val="1"/>
                <w:color w:val="auto"/>
                <w:w w:val="97"/>
              </w:rPr>
              <w:t>72.4%</w:t>
            </w:r>
          </w:p>
        </w:tc>
      </w:tr>
      <w:tr>
        <w:trPr>
          <w:trHeight w:val="67"/>
        </w:trPr>
        <w:tc>
          <w:tcPr>
            <w:tcW w:w="288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4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31"/>
        </w:trPr>
        <w:tc>
          <w:tcPr>
            <w:tcW w:w="28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i w:val="1"/>
                <w:iCs w:val="1"/>
                <w:color w:val="auto"/>
              </w:rPr>
              <w:t>Quarter Ended June 30, 2011</w:t>
            </w:r>
          </w:p>
        </w:tc>
        <w:tc>
          <w:tcPr>
            <w:tcW w:w="13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West</w:t>
            </w:r>
          </w:p>
        </w:tc>
        <w:tc>
          <w:tcPr>
            <w:tcW w:w="13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5,079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ind w:left="900"/>
              <w:spacing w:after="0"/>
              <w:rPr>
                <w:sz w:val="20"/>
                <w:szCs w:val="20"/>
                <w:color w:val="auto"/>
              </w:rPr>
            </w:pPr>
            <w:r>
              <w:rPr>
                <w:rFonts w:ascii="Arial" w:cs="Arial" w:eastAsia="Arial" w:hAnsi="Arial"/>
                <w:sz w:val="18"/>
                <w:szCs w:val="18"/>
                <w:color w:val="auto"/>
                <w:w w:val="97"/>
              </w:rPr>
              <w:t>86.5%</w:t>
            </w:r>
          </w:p>
        </w:tc>
      </w:tr>
      <w:tr>
        <w:trPr>
          <w:trHeight w:val="27"/>
        </w:trPr>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w:t>
            </w:r>
          </w:p>
        </w:tc>
        <w:tc>
          <w:tcPr>
            <w:tcW w:w="1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w w:val="97"/>
              </w:rPr>
              <w:t>96.5%</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Southeast</w:t>
            </w:r>
          </w:p>
        </w:tc>
        <w:tc>
          <w:tcPr>
            <w:tcW w:w="13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5,259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ind w:left="900"/>
              <w:spacing w:after="0"/>
              <w:rPr>
                <w:sz w:val="20"/>
                <w:szCs w:val="20"/>
                <w:color w:val="auto"/>
              </w:rPr>
            </w:pPr>
            <w:r>
              <w:rPr>
                <w:rFonts w:ascii="Arial" w:cs="Arial" w:eastAsia="Arial" w:hAnsi="Arial"/>
                <w:sz w:val="18"/>
                <w:szCs w:val="18"/>
                <w:color w:val="auto"/>
                <w:w w:val="97"/>
              </w:rPr>
              <w:t>44.0%</w:t>
            </w:r>
          </w:p>
        </w:tc>
      </w:tr>
      <w:tr>
        <w:trPr>
          <w:trHeight w:val="27"/>
        </w:trPr>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w:t>
            </w:r>
          </w:p>
        </w:tc>
        <w:tc>
          <w:tcPr>
            <w:tcW w:w="136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gridSpan w:val="3"/>
            <w:shd w:val="clear" w:color="auto" w:fill="CCEEFF"/>
          </w:tcPr>
          <w:p>
            <w:pPr>
              <w:jc w:val="right"/>
              <w:ind w:right="2148"/>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n/a</w:t>
            </w:r>
          </w:p>
        </w:tc>
      </w:tr>
      <w:tr>
        <w:trPr>
          <w:trHeight w:val="237"/>
        </w:trPr>
        <w:tc>
          <w:tcPr>
            <w:tcW w:w="2880" w:type="dxa"/>
            <w:vAlign w:val="bottom"/>
          </w:tcPr>
          <w:p>
            <w:pPr>
              <w:ind w:left="28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74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21,633</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w w:val="97"/>
              </w:rPr>
              <w:t>81.6%</w:t>
            </w:r>
          </w:p>
        </w:tc>
      </w:tr>
      <w:tr>
        <w:trPr>
          <w:trHeight w:val="27"/>
        </w:trPr>
        <w:tc>
          <w:tcPr>
            <w:tcW w:w="28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28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table below summarizes the results of our discounted cash flow analysis for the three and nine months ended June 30, 2012 and 2011. The impairment charges below include impairments taken as a result of these discounted cash flow analyses and also impairment charges recorded for individual homes sold and in backlog with net contribution margins below a minimum threshold of profitability in communities that were not otherwise impaired through our discounted cash flow analyses. The estimated fair value of the impaired inventory is determined immediately after a community’s impairment.</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40" w:type="dxa"/>
            <w:vAlign w:val="bottom"/>
            <w:gridSpan w:val="7"/>
          </w:tcPr>
          <w:p>
            <w:pPr>
              <w:jc w:val="right"/>
              <w:ind w:right="319"/>
              <w:spacing w:after="0"/>
              <w:rPr>
                <w:sz w:val="20"/>
                <w:szCs w:val="20"/>
                <w:color w:val="auto"/>
              </w:rPr>
            </w:pPr>
            <w:r>
              <w:rPr>
                <w:rFonts w:ascii="Arial" w:cs="Arial" w:eastAsia="Arial" w:hAnsi="Arial"/>
                <w:sz w:val="16"/>
                <w:szCs w:val="16"/>
                <w:color w:val="auto"/>
              </w:rPr>
              <w:t>Communities Impaired As a Result of Discounted Cash</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80" w:type="dxa"/>
            <w:vAlign w:val="bottom"/>
          </w:tcPr>
          <w:p>
            <w:pPr>
              <w:ind w:left="40"/>
              <w:spacing w:after="0"/>
              <w:rPr>
                <w:sz w:val="20"/>
                <w:szCs w:val="20"/>
                <w:color w:val="auto"/>
              </w:rPr>
            </w:pPr>
            <w:r>
              <w:rPr>
                <w:rFonts w:ascii="Arial" w:cs="Arial" w:eastAsia="Arial" w:hAnsi="Arial"/>
                <w:sz w:val="16"/>
                <w:szCs w:val="16"/>
                <w:color w:val="auto"/>
              </w:rPr>
              <w:t>($ in thousands)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gridSpan w:val="3"/>
          </w:tcPr>
          <w:p>
            <w:pPr>
              <w:jc w:val="right"/>
              <w:ind w:right="459"/>
              <w:spacing w:after="0"/>
              <w:rPr>
                <w:sz w:val="20"/>
                <w:szCs w:val="20"/>
                <w:color w:val="auto"/>
              </w:rPr>
            </w:pPr>
            <w:r>
              <w:rPr>
                <w:rFonts w:ascii="Arial" w:cs="Arial" w:eastAsia="Arial" w:hAnsi="Arial"/>
                <w:sz w:val="16"/>
                <w:szCs w:val="16"/>
                <w:color w:val="auto"/>
              </w:rPr>
              <w:t>Flow Analyses Prepared</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39"/>
              <w:spacing w:after="0"/>
              <w:rPr>
                <w:sz w:val="20"/>
                <w:szCs w:val="20"/>
                <w:color w:val="auto"/>
              </w:rPr>
            </w:pPr>
            <w:r>
              <w:rPr>
                <w:rFonts w:ascii="Arial" w:cs="Arial" w:eastAsia="Arial" w:hAnsi="Arial"/>
                <w:sz w:val="16"/>
                <w:szCs w:val="16"/>
                <w:color w:val="auto"/>
                <w:w w:val="91"/>
              </w:rPr>
              <w:t>Estimated Fair</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color w:val="auto"/>
                <w:w w:val="93"/>
              </w:rPr>
              <w:t>Estimated Fair</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39"/>
              <w:spacing w:after="0"/>
              <w:rPr>
                <w:sz w:val="20"/>
                <w:szCs w:val="20"/>
                <w:color w:val="auto"/>
              </w:rPr>
            </w:pPr>
            <w:r>
              <w:rPr>
                <w:rFonts w:ascii="Arial" w:cs="Arial" w:eastAsia="Arial" w:hAnsi="Arial"/>
                <w:sz w:val="16"/>
                <w:szCs w:val="16"/>
                <w:color w:val="auto"/>
                <w:w w:val="91"/>
              </w:rPr>
              <w:t>Value of</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color w:val="auto"/>
                <w:w w:val="95"/>
              </w:rPr>
              <w:t>Value of</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 of</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39"/>
              <w:spacing w:after="0"/>
              <w:rPr>
                <w:sz w:val="20"/>
                <w:szCs w:val="20"/>
                <w:color w:val="auto"/>
              </w:rPr>
            </w:pPr>
            <w:r>
              <w:rPr>
                <w:rFonts w:ascii="Arial" w:cs="Arial" w:eastAsia="Arial" w:hAnsi="Arial"/>
                <w:sz w:val="16"/>
                <w:szCs w:val="16"/>
                <w:color w:val="auto"/>
                <w:w w:val="93"/>
              </w:rPr>
              <w:t>Impaired</w:t>
            </w:r>
          </w:p>
        </w:tc>
        <w:tc>
          <w:tcPr>
            <w:tcW w:w="2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7"/>
              </w:rPr>
              <w:t># of</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color w:val="auto"/>
                <w:w w:val="96"/>
              </w:rPr>
              <w:t>Impaired</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Communities</w:t>
            </w:r>
          </w:p>
        </w:tc>
        <w:tc>
          <w:tcPr>
            <w:tcW w:w="920" w:type="dxa"/>
            <w:vAlign w:val="bottom"/>
            <w:gridSpan w:val="2"/>
          </w:tcPr>
          <w:p>
            <w:pPr>
              <w:ind w:left="100"/>
              <w:spacing w:after="0"/>
              <w:rPr>
                <w:sz w:val="20"/>
                <w:szCs w:val="20"/>
                <w:color w:val="auto"/>
              </w:rPr>
            </w:pPr>
            <w:r>
              <w:rPr>
                <w:rFonts w:ascii="Arial" w:cs="Arial" w:eastAsia="Arial" w:hAnsi="Arial"/>
                <w:sz w:val="16"/>
                <w:szCs w:val="16"/>
                <w:color w:val="auto"/>
              </w:rPr>
              <w:t># of Lots</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color w:val="auto"/>
                <w:w w:val="94"/>
              </w:rPr>
              <w:t>Impairment</w:t>
            </w:r>
          </w:p>
        </w:tc>
        <w:tc>
          <w:tcPr>
            <w:tcW w:w="140" w:type="dxa"/>
            <w:vAlign w:val="bottom"/>
          </w:tcPr>
          <w:p>
            <w:pPr>
              <w:spacing w:after="0"/>
              <w:rPr>
                <w:sz w:val="17"/>
                <w:szCs w:val="17"/>
                <w:color w:val="auto"/>
              </w:rPr>
            </w:pPr>
          </w:p>
        </w:tc>
        <w:tc>
          <w:tcPr>
            <w:tcW w:w="1100" w:type="dxa"/>
            <w:vAlign w:val="bottom"/>
          </w:tcPr>
          <w:p>
            <w:pPr>
              <w:jc w:val="center"/>
              <w:ind w:right="39"/>
              <w:spacing w:after="0"/>
              <w:rPr>
                <w:sz w:val="20"/>
                <w:szCs w:val="20"/>
                <w:color w:val="auto"/>
              </w:rPr>
            </w:pPr>
            <w:r>
              <w:rPr>
                <w:rFonts w:ascii="Arial" w:cs="Arial" w:eastAsia="Arial" w:hAnsi="Arial"/>
                <w:sz w:val="16"/>
                <w:szCs w:val="16"/>
                <w:color w:val="auto"/>
                <w:w w:val="93"/>
              </w:rPr>
              <w:t>Inventory at</w:t>
            </w:r>
          </w:p>
        </w:tc>
        <w:tc>
          <w:tcPr>
            <w:tcW w:w="2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2"/>
              </w:rPr>
              <w:t>Communities</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 of Lots</w:t>
            </w:r>
          </w:p>
        </w:tc>
        <w:tc>
          <w:tcPr>
            <w:tcW w:w="22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w w:val="92"/>
              </w:rPr>
              <w:t>Impairment</w:t>
            </w:r>
          </w:p>
        </w:tc>
        <w:tc>
          <w:tcPr>
            <w:tcW w:w="220" w:type="dxa"/>
            <w:vAlign w:val="bottom"/>
          </w:tcPr>
          <w:p>
            <w:pPr>
              <w:spacing w:after="0"/>
              <w:rPr>
                <w:sz w:val="17"/>
                <w:szCs w:val="17"/>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color w:val="auto"/>
                <w:w w:val="95"/>
              </w:rPr>
              <w:t>Inventory at</w:t>
            </w:r>
          </w:p>
        </w:tc>
        <w:tc>
          <w:tcPr>
            <w:tcW w:w="0" w:type="dxa"/>
            <w:vAlign w:val="bottom"/>
          </w:tcPr>
          <w:p>
            <w:pPr>
              <w:spacing w:after="0"/>
              <w:rPr>
                <w:sz w:val="1"/>
                <w:szCs w:val="1"/>
                <w:color w:val="auto"/>
              </w:rPr>
            </w:pPr>
          </w:p>
        </w:tc>
      </w:tr>
      <w:tr>
        <w:trPr>
          <w:trHeight w:val="206"/>
        </w:trPr>
        <w:tc>
          <w:tcPr>
            <w:tcW w:w="2080" w:type="dxa"/>
            <w:vAlign w:val="bottom"/>
          </w:tcPr>
          <w:p>
            <w:pPr>
              <w:ind w:left="40"/>
              <w:spacing w:after="0"/>
              <w:rPr>
                <w:sz w:val="20"/>
                <w:szCs w:val="20"/>
                <w:color w:val="auto"/>
              </w:rPr>
            </w:pPr>
            <w:r>
              <w:rPr>
                <w:rFonts w:ascii="Arial" w:cs="Arial" w:eastAsia="Arial" w:hAnsi="Arial"/>
                <w:sz w:val="16"/>
                <w:szCs w:val="16"/>
                <w:color w:val="auto"/>
              </w:rPr>
              <w:t>Segment</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Impaired</w:t>
            </w:r>
          </w:p>
        </w:tc>
        <w:tc>
          <w:tcPr>
            <w:tcW w:w="920" w:type="dxa"/>
            <w:vAlign w:val="bottom"/>
            <w:gridSpan w:val="2"/>
          </w:tcPr>
          <w:p>
            <w:pPr>
              <w:ind w:left="120"/>
              <w:spacing w:after="0"/>
              <w:rPr>
                <w:sz w:val="20"/>
                <w:szCs w:val="20"/>
                <w:color w:val="auto"/>
              </w:rPr>
            </w:pPr>
            <w:r>
              <w:rPr>
                <w:rFonts w:ascii="Arial" w:cs="Arial" w:eastAsia="Arial" w:hAnsi="Arial"/>
                <w:sz w:val="16"/>
                <w:szCs w:val="16"/>
                <w:color w:val="auto"/>
              </w:rPr>
              <w:t>Impaired</w:t>
            </w: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color w:val="auto"/>
                <w:w w:val="87"/>
              </w:rPr>
              <w:t>Charge</w:t>
            </w:r>
          </w:p>
        </w:tc>
        <w:tc>
          <w:tcPr>
            <w:tcW w:w="14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color w:val="auto"/>
                <w:w w:val="90"/>
              </w:rPr>
              <w:t>Period End</w:t>
            </w:r>
          </w:p>
        </w:tc>
        <w:tc>
          <w:tcPr>
            <w:tcW w:w="2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Impaired</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Impaired</w:t>
            </w:r>
          </w:p>
        </w:tc>
        <w:tc>
          <w:tcPr>
            <w:tcW w:w="220" w:type="dxa"/>
            <w:vAlign w:val="bottom"/>
          </w:tcPr>
          <w:p>
            <w:pPr>
              <w:spacing w:after="0"/>
              <w:rPr>
                <w:sz w:val="17"/>
                <w:szCs w:val="17"/>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Charge</w:t>
            </w:r>
          </w:p>
        </w:tc>
        <w:tc>
          <w:tcPr>
            <w:tcW w:w="220" w:type="dxa"/>
            <w:vAlign w:val="bottom"/>
          </w:tcPr>
          <w:p>
            <w:pPr>
              <w:spacing w:after="0"/>
              <w:rPr>
                <w:sz w:val="17"/>
                <w:szCs w:val="17"/>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color w:val="auto"/>
                <w:w w:val="90"/>
              </w:rPr>
              <w:t>Period End</w:t>
            </w:r>
          </w:p>
        </w:tc>
        <w:tc>
          <w:tcPr>
            <w:tcW w:w="0" w:type="dxa"/>
            <w:vAlign w:val="bottom"/>
          </w:tcPr>
          <w:p>
            <w:pPr>
              <w:spacing w:after="0"/>
              <w:rPr>
                <w:sz w:val="1"/>
                <w:szCs w:val="1"/>
                <w:color w:val="auto"/>
              </w:rPr>
            </w:pPr>
          </w:p>
        </w:tc>
      </w:tr>
      <w:tr>
        <w:trPr>
          <w:trHeight w:val="33"/>
        </w:trPr>
        <w:tc>
          <w:tcPr>
            <w:tcW w:w="20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16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w w:val="91"/>
              </w:rPr>
              <w:t>Quarter Ended June 30, 2012</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31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Nine Months Ended June 30, 2012</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b w:val="1"/>
                <w:bCs w:val="1"/>
                <w:color w:val="auto"/>
              </w:rPr>
              <w:t>West</w:t>
            </w: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65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1,590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4,680</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2</w:t>
            </w: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116</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3,788</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11,058</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East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3,122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4,050</w:t>
            </w:r>
          </w:p>
        </w:tc>
        <w:tc>
          <w:tcPr>
            <w:tcW w:w="220" w:type="dxa"/>
            <w:vAlign w:val="bottom"/>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93</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3,809</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7,342</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b w:val="1"/>
                <w:bCs w:val="1"/>
                <w:color w:val="auto"/>
              </w:rPr>
              <w:t>Southeast</w:t>
            </w: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630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2,457</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1</w:t>
            </w: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37</w:t>
            </w: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794</w:t>
            </w: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2,457</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Unallocated</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473</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1"/>
        </w:trPr>
        <w:tc>
          <w:tcPr>
            <w:tcW w:w="2080" w:type="dxa"/>
            <w:vAlign w:val="bottom"/>
          </w:tcPr>
          <w:p>
            <w:pPr>
              <w:ind w:left="40"/>
              <w:spacing w:after="0"/>
              <w:rPr>
                <w:sz w:val="20"/>
                <w:szCs w:val="20"/>
                <w:color w:val="auto"/>
              </w:rPr>
            </w:pPr>
            <w:r>
              <w:rPr>
                <w:rFonts w:ascii="Arial" w:cs="Arial" w:eastAsia="Arial" w:hAnsi="Arial"/>
                <w:sz w:val="16"/>
                <w:szCs w:val="16"/>
                <w:b w:val="1"/>
                <w:bCs w:val="1"/>
                <w:color w:val="auto"/>
              </w:rPr>
              <w:t>Continuing Operations</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20"/>
                <w:szCs w:val="20"/>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5,731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11,187</w:t>
            </w:r>
          </w:p>
        </w:tc>
        <w:tc>
          <w:tcPr>
            <w:tcW w:w="220" w:type="dxa"/>
            <w:vAlign w:val="bottom"/>
          </w:tcPr>
          <w:p>
            <w:pPr>
              <w:spacing w:after="0"/>
              <w:rPr>
                <w:sz w:val="20"/>
                <w:szCs w:val="20"/>
                <w:color w:val="auto"/>
              </w:rPr>
            </w:pP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246</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8,864</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20,857</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Discontinued Operations</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60</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1"/>
        </w:trPr>
        <w:tc>
          <w:tcPr>
            <w:tcW w:w="2080" w:type="dxa"/>
            <w:vAlign w:val="bottom"/>
          </w:tcPr>
          <w:p>
            <w:pPr>
              <w:ind w:left="280"/>
              <w:spacing w:after="0"/>
              <w:rPr>
                <w:sz w:val="20"/>
                <w:szCs w:val="20"/>
                <w:color w:val="auto"/>
              </w:rPr>
            </w:pPr>
            <w:r>
              <w:rPr>
                <w:rFonts w:ascii="Arial" w:cs="Arial" w:eastAsia="Arial" w:hAnsi="Arial"/>
                <w:sz w:val="16"/>
                <w:szCs w:val="16"/>
                <w:b w:val="1"/>
                <w:bCs w:val="1"/>
                <w:color w:val="auto"/>
              </w:rPr>
              <w:t>Total</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20"/>
                <w:szCs w:val="20"/>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5,773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11,187</w:t>
            </w:r>
          </w:p>
        </w:tc>
        <w:tc>
          <w:tcPr>
            <w:tcW w:w="220" w:type="dxa"/>
            <w:vAlign w:val="bottom"/>
          </w:tcPr>
          <w:p>
            <w:pPr>
              <w:spacing w:after="0"/>
              <w:rPr>
                <w:sz w:val="20"/>
                <w:szCs w:val="20"/>
                <w:color w:val="auto"/>
              </w:rPr>
            </w:pP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246</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8,924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20,857</w:t>
            </w:r>
          </w:p>
        </w:tc>
        <w:tc>
          <w:tcPr>
            <w:tcW w:w="0" w:type="dxa"/>
            <w:vAlign w:val="bottom"/>
          </w:tcPr>
          <w:p>
            <w:pPr>
              <w:spacing w:after="0"/>
              <w:rPr>
                <w:sz w:val="1"/>
                <w:szCs w:val="1"/>
                <w:color w:val="auto"/>
              </w:rPr>
            </w:pPr>
          </w:p>
        </w:tc>
      </w:tr>
      <w:tr>
        <w:trPr>
          <w:trHeight w:val="33"/>
        </w:trPr>
        <w:tc>
          <w:tcPr>
            <w:tcW w:w="2080" w:type="dxa"/>
            <w:vAlign w:val="bottom"/>
            <w:vMerge w:val="restart"/>
          </w:tcPr>
          <w:p>
            <w:pPr>
              <w:ind w:left="40"/>
              <w:spacing w:after="0"/>
              <w:rPr>
                <w:sz w:val="20"/>
                <w:szCs w:val="20"/>
                <w:color w:val="auto"/>
              </w:rPr>
            </w:pPr>
            <w:r>
              <w:rPr>
                <w:rFonts w:ascii="Arial" w:cs="Arial" w:eastAsia="Arial" w:hAnsi="Arial"/>
                <w:sz w:val="16"/>
                <w:szCs w:val="16"/>
                <w:i w:val="1"/>
                <w:iCs w:val="1"/>
                <w:color w:val="auto"/>
                <w:w w:val="95"/>
              </w:rPr>
              <w:t>Quarter Ended June 30, 2011</w:t>
            </w: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80" w:type="dxa"/>
            <w:vAlign w:val="bottom"/>
            <w:vMerge w:val="continue"/>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20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3"/>
          </w:tcPr>
          <w:p>
            <w:pPr>
              <w:ind w:left="20"/>
              <w:spacing w:after="0"/>
              <w:rPr>
                <w:sz w:val="20"/>
                <w:szCs w:val="20"/>
                <w:color w:val="auto"/>
              </w:rPr>
            </w:pPr>
            <w:r>
              <w:rPr>
                <w:rFonts w:ascii="Arial" w:cs="Arial" w:eastAsia="Arial" w:hAnsi="Arial"/>
                <w:sz w:val="16"/>
                <w:szCs w:val="16"/>
                <w:i w:val="1"/>
                <w:iCs w:val="1"/>
                <w:color w:val="auto"/>
                <w:w w:val="90"/>
              </w:rPr>
              <w:t>Nine Months Ended June 30, 2011</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West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4,223</w:t>
            </w:r>
          </w:p>
        </w:tc>
        <w:tc>
          <w:tcPr>
            <w:tcW w:w="220" w:type="dxa"/>
            <w:vAlign w:val="bottom"/>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17,556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31,924</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East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5,637</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1</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988</w:t>
            </w: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5,637</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Southeast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1,812</w:t>
            </w:r>
          </w:p>
        </w:tc>
        <w:tc>
          <w:tcPr>
            <w:tcW w:w="220" w:type="dxa"/>
            <w:vAlign w:val="bottom"/>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3,557</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1,812</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Unallocated</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2,139</w:t>
            </w: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11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11,672</w:t>
            </w:r>
          </w:p>
        </w:tc>
        <w:tc>
          <w:tcPr>
            <w:tcW w:w="220" w:type="dxa"/>
            <w:vAlign w:val="bottom"/>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1,048</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24,240</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39,373</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Discontinued Operations</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215</w:t>
            </w: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1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6,296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11,672</w:t>
            </w:r>
          </w:p>
        </w:tc>
        <w:tc>
          <w:tcPr>
            <w:tcW w:w="220" w:type="dxa"/>
            <w:vAlign w:val="bottom"/>
          </w:tcPr>
          <w:p>
            <w:pPr>
              <w:spacing w:after="0"/>
              <w:rPr>
                <w:sz w:val="22"/>
                <w:szCs w:val="22"/>
                <w:color w:val="auto"/>
              </w:rPr>
            </w:pPr>
          </w:p>
        </w:tc>
        <w:tc>
          <w:tcPr>
            <w:tcW w:w="11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1,048</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24,455</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39,373</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assumptions about future home sales prices and absorption rates require significant judgment because the residential homebuilding industry is cyclical and is highly sensitive to changes in economic conditions. During these periods, for certain communities we determined that it was prudent to reduce sales prices or further increase sales incentives in response to factors including competitive market conditions in those specific submarkets for the product and locations of these communities. Because the projected cash flows used to evaluate the fair value of inventory are significantly impacted by changes in market conditions including decreased sales prices, the change in sales prices and changes in absorption estimates based on current market conditions and management’s assumptions relative to future results led to impairments in three communities during the quarter ended June 30, 2012. During the quarter ended June 30, 2011, discrete changes in our revenue and absorption estimates for certain communities due to pricing reductions in response to competitor actions and local market conditions led to impairments in six communities. Market deterioration that exceeds our estimates may lead us to incur additional impairment charges on previously impaired homebuilding assets in addition to homebuilding assets not currently impaired but for which indicators of impairment may arise if the market continues to deteriorate.</w:t>
      </w:r>
    </w:p>
    <w:p>
      <w:pPr>
        <w:spacing w:after="0" w:line="12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year-to-date impairments on land held for sale below represent further write downs of these properties to net realizable value, less estimated costs to sell and are as a result of challenging market conditions and our review of recent comparable transactions. The negative impairments indicated below are due to adjustments to accruals for estimated selling costs related to either our strategic decision to develop a previously held-for-sale land position or revised estimates based on pending sales transactions. Our assumptions about land sales prices require significant judgment because the current market is highly sensitive to changes in economic conditions. We calculated the estimated fair values of land held for sale based on current market conditions and assumptions made by management, which may differ materially from actual results and may result in additional impairments if market conditions continue to deteriorate.</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Also, we have determined the proper course of action with respect to a number of communities within each homebuilding segment was to abandon the remaining lots under option and to write-off the deposits securing the option takedowns, as well as pre-acquisition costs. In determining whether to abandon a lot option contract, we evaluate the lot option primarily based upon the expected cash flows from the property that is the subject of the option. If we intend to abandon or walk-away from a lot option contract, we record a charge to earnings in the period such decision is made for the deposit amount and any related capitalized costs associated with the lot option contract. We recorded lot option abandonment charges during the three and nine months ended June 30, 2012 and 2011 as indicated in the table below. The abandonment charges relate to our decision to abandon certain option contracts that no longer fit in our long-term strategic plan.</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380"/>
          </w:cols>
          <w:pgMar w:left="240" w:top="121" w:right="27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by reportable homebuilding segment, the inventory impairments and lot option abandonment charges recorded for the three and nine months ended June 30, 2012 and 2011 (in thousands) :</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5"/>
          </w:tcPr>
          <w:p>
            <w:pPr>
              <w:ind w:left="160"/>
              <w:spacing w:after="0"/>
              <w:rPr>
                <w:sz w:val="20"/>
                <w:szCs w:val="20"/>
                <w:color w:val="auto"/>
              </w:rPr>
            </w:pPr>
            <w:r>
              <w:rPr>
                <w:rFonts w:ascii="Arial" w:cs="Arial" w:eastAsia="Arial" w:hAnsi="Arial"/>
                <w:sz w:val="14"/>
                <w:szCs w:val="14"/>
                <w:b w:val="1"/>
                <w:bCs w:val="1"/>
                <w:color w:val="auto"/>
              </w:rPr>
              <w:t>Quarter Ended June 30,</w:t>
            </w:r>
          </w:p>
        </w:tc>
        <w:tc>
          <w:tcPr>
            <w:tcW w:w="200" w:type="dxa"/>
            <w:vAlign w:val="bottom"/>
          </w:tcPr>
          <w:p>
            <w:pPr>
              <w:spacing w:after="0"/>
              <w:rPr>
                <w:sz w:val="16"/>
                <w:szCs w:val="16"/>
                <w:color w:val="auto"/>
              </w:rPr>
            </w:pPr>
          </w:p>
        </w:tc>
        <w:tc>
          <w:tcPr>
            <w:tcW w:w="210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w w:val="95"/>
              </w:rPr>
              <w:t>Nine Months Ended June 30,</w:t>
            </w:r>
          </w:p>
        </w:tc>
      </w:tr>
      <w:tr>
        <w:trPr>
          <w:trHeight w:val="264"/>
        </w:trPr>
        <w:tc>
          <w:tcPr>
            <w:tcW w:w="60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color w:val="auto"/>
              </w:rPr>
              <w:t>2011</w:t>
            </w:r>
          </w:p>
        </w:tc>
        <w:tc>
          <w:tcPr>
            <w:tcW w:w="3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color w:val="auto"/>
              </w:rPr>
              <w:t>2011</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Development projects and homes in process (Held for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West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1,590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1,571</w:t>
            </w:r>
          </w:p>
        </w:tc>
        <w:tc>
          <w:tcPr>
            <w:tcW w:w="3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3,788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17,556</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East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3,122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759</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3,809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988</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Southeast</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630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3,435</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794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3,557</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Unallocated</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531</w:t>
            </w: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473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2,139</w:t>
            </w:r>
          </w:p>
        </w:tc>
      </w:tr>
      <w:tr>
        <w:trPr>
          <w:trHeight w:val="237"/>
        </w:trPr>
        <w:tc>
          <w:tcPr>
            <w:tcW w:w="6040" w:type="dxa"/>
            <w:vAlign w:val="bottom"/>
          </w:tcPr>
          <w:p>
            <w:pPr>
              <w:ind w:left="720"/>
              <w:spacing w:after="0"/>
              <w:rPr>
                <w:sz w:val="20"/>
                <w:szCs w:val="20"/>
                <w:color w:val="auto"/>
              </w:rPr>
            </w:pPr>
            <w:r>
              <w:rPr>
                <w:rFonts w:ascii="Arial" w:cs="Arial" w:eastAsia="Arial" w:hAnsi="Arial"/>
                <w:sz w:val="18"/>
                <w:szCs w:val="18"/>
                <w:color w:val="auto"/>
              </w:rPr>
              <w:t>Subtotal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5,731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6,296</w:t>
            </w:r>
          </w:p>
        </w:tc>
        <w:tc>
          <w:tcPr>
            <w:tcW w:w="3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8,864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24,240</w:t>
            </w:r>
          </w:p>
        </w:tc>
      </w:tr>
      <w:tr>
        <w:trPr>
          <w:trHeight w:val="27"/>
        </w:trPr>
        <w:tc>
          <w:tcPr>
            <w:tcW w:w="6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Held for Sale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West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East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Southeast</w:t>
            </w: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208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169</w:t>
            </w:r>
          </w:p>
        </w:tc>
      </w:tr>
      <w:tr>
        <w:trPr>
          <w:trHeight w:val="27"/>
        </w:trPr>
        <w:tc>
          <w:tcPr>
            <w:tcW w:w="6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6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Subtotal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r>
      <w:tr>
        <w:trPr>
          <w:trHeight w:val="223"/>
        </w:trPr>
        <w:tc>
          <w:tcPr>
            <w:tcW w:w="6040" w:type="dxa"/>
            <w:vAlign w:val="bottom"/>
          </w:tcPr>
          <w:p>
            <w:pPr>
              <w:ind w:left="40"/>
              <w:spacing w:after="0"/>
              <w:rPr>
                <w:sz w:val="20"/>
                <w:szCs w:val="20"/>
                <w:color w:val="auto"/>
              </w:rPr>
            </w:pPr>
            <w:r>
              <w:rPr>
                <w:rFonts w:ascii="Arial" w:cs="Arial" w:eastAsia="Arial" w:hAnsi="Arial"/>
                <w:sz w:val="18"/>
                <w:szCs w:val="18"/>
                <w:color w:val="auto"/>
              </w:rPr>
              <w:t>Lot Option Abandonments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41"/>
        </w:trPr>
        <w:tc>
          <w:tcPr>
            <w:tcW w:w="6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East</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462</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574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595</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Southeast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Unallocated</w:t>
            </w: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6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Subtotal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574</w:t>
            </w:r>
          </w:p>
        </w:tc>
        <w:tc>
          <w:tcPr>
            <w:tcW w:w="3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973</w:t>
            </w:r>
          </w:p>
        </w:tc>
      </w:tr>
      <w:tr>
        <w:trPr>
          <w:trHeight w:val="237"/>
        </w:trPr>
        <w:tc>
          <w:tcPr>
            <w:tcW w:w="6040" w:type="dxa"/>
            <w:vAlign w:val="bottom"/>
          </w:tcPr>
          <w:p>
            <w:pPr>
              <w:ind w:left="720"/>
              <w:spacing w:after="0"/>
              <w:rPr>
                <w:sz w:val="20"/>
                <w:szCs w:val="20"/>
                <w:color w:val="auto"/>
              </w:rPr>
            </w:pPr>
            <w:r>
              <w:rPr>
                <w:rFonts w:ascii="Arial" w:cs="Arial" w:eastAsia="Arial" w:hAnsi="Arial"/>
                <w:sz w:val="18"/>
                <w:szCs w:val="18"/>
                <w:color w:val="auto"/>
              </w:rPr>
              <w:t>Continuing Operations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5,819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6,870</w:t>
            </w:r>
          </w:p>
        </w:tc>
        <w:tc>
          <w:tcPr>
            <w:tcW w:w="3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10,492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25,331</w:t>
            </w:r>
          </w:p>
        </w:tc>
      </w:tr>
      <w:tr>
        <w:trPr>
          <w:trHeight w:val="27"/>
        </w:trPr>
        <w:tc>
          <w:tcPr>
            <w:tcW w:w="6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Held for Development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215</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 Held for Sale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Lot Option Abandonments</w:t>
            </w: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2,477</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2,525</w:t>
            </w:r>
          </w:p>
        </w:tc>
      </w:tr>
      <w:tr>
        <w:trPr>
          <w:trHeight w:val="27"/>
        </w:trPr>
        <w:tc>
          <w:tcPr>
            <w:tcW w:w="6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6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Subtotal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2,494</w:t>
            </w:r>
          </w:p>
        </w:tc>
        <w:tc>
          <w:tcPr>
            <w:tcW w:w="3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2,814</w:t>
            </w:r>
          </w:p>
        </w:tc>
      </w:tr>
      <w:tr>
        <w:trPr>
          <w:trHeight w:val="237"/>
        </w:trPr>
        <w:tc>
          <w:tcPr>
            <w:tcW w:w="6040" w:type="dxa"/>
            <w:vAlign w:val="bottom"/>
          </w:tcPr>
          <w:p>
            <w:pPr>
              <w:ind w:left="720"/>
              <w:spacing w:after="0"/>
              <w:rPr>
                <w:sz w:val="20"/>
                <w:szCs w:val="20"/>
                <w:color w:val="auto"/>
              </w:rPr>
            </w:pPr>
            <w:r>
              <w:rPr>
                <w:rFonts w:ascii="Arial" w:cs="Arial" w:eastAsia="Arial" w:hAnsi="Arial"/>
                <w:sz w:val="18"/>
                <w:szCs w:val="18"/>
                <w:color w:val="auto"/>
              </w:rPr>
              <w:t>Total Company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6,364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9,364</w:t>
            </w:r>
          </w:p>
        </w:tc>
        <w:tc>
          <w:tcPr>
            <w:tcW w:w="3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11,071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28,145</w:t>
            </w:r>
          </w:p>
        </w:tc>
      </w:tr>
      <w:tr>
        <w:trPr>
          <w:trHeight w:val="27"/>
        </w:trPr>
        <w:tc>
          <w:tcPr>
            <w:tcW w:w="6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 xml:space="preserve">Lot Option Agreements and Variable Interest Entities (VIE). </w:t>
      </w:r>
      <w:r>
        <w:rPr>
          <w:rFonts w:ascii="Arial" w:cs="Arial" w:eastAsia="Arial" w:hAnsi="Arial"/>
          <w:sz w:val="17"/>
          <w:szCs w:val="17"/>
          <w:color w:val="auto"/>
        </w:rPr>
        <w:t>As previously discussed, we also have access to land inventory through lot option contracts,</w:t>
      </w:r>
      <w:r>
        <w:rPr>
          <w:rFonts w:ascii="Arial" w:cs="Arial" w:eastAsia="Arial" w:hAnsi="Arial"/>
          <w:sz w:val="17"/>
          <w:szCs w:val="17"/>
          <w:b w:val="1"/>
          <w:bCs w:val="1"/>
          <w:color w:val="auto"/>
        </w:rPr>
        <w:t xml:space="preserve"> </w:t>
      </w:r>
      <w:r>
        <w:rPr>
          <w:rFonts w:ascii="Arial" w:cs="Arial" w:eastAsia="Arial" w:hAnsi="Arial"/>
          <w:sz w:val="17"/>
          <w:szCs w:val="17"/>
          <w:color w:val="auto"/>
        </w:rPr>
        <w:t>which generally enable us to defer acquiring portions of properties owned by third parties and unconsolidated entities until we have determined whether to exercise our lot option. A majority of our lot option contracts require a non-refundable cash deposit or irrevocable letter of credit based on a percentage of the purchase price of the land for the right to acquire lots during a specified period of time at a certain price. Under lot option contracts, purchase of the properties is contingent upon satisfaction of certain requirements by us and the sellers. Our liability under option contracts is generally limited to forfeiture of the non-refundable deposits, letters of credit and other non-refundable amounts incurred, which aggregated approximately $24.7 million at June 30, 2012. The total remaining purchase price, net of cash deposits, committed under all options was $197.3 million as of June 30, 2012. We expect to exercise, subject to market conditions and seller satisfaction of contract terms, most of our remaining option contracts. Various factors, some of which are beyond our control, such as market conditions, weather conditions and the timing of the completion of development activities, will have a significant impact on the timing of option exercises or whether lot options will be exercised.</w:t>
      </w:r>
    </w:p>
    <w:p>
      <w:pPr>
        <w:spacing w:after="0" w:line="12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VIEs in which we are the primary beneficiary of the VIE, we have consolidated the VIE and reflected such assets and liabilities as land not owned under option agreements in our balance sheets. For VIEs we were required to consolidate, we recorded the remaining contractual purchase price under the applicable lot option agreement to land not owned under option agreements with an offsetting increase to obligations related to land not owned under option agreements. Also, to reflect the purchase price of this inventory consolidated, we reclassified the related option deposits from land under development to land not owned under option agreement in the accompanying unaudited condensed consolidated balance sheets. Consolidation of these VIEs has no impact on the Company’s results of operations or cash flows.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our interests in lot option agreements as of June 30, 2012 and September 30, 2011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color w:val="auto"/>
                <w:w w:val="97"/>
              </w:rPr>
              <w:t>Deposits &amp;</w:t>
            </w: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5"/>
              </w:rPr>
              <w:t>Non-refundable</w:t>
            </w:r>
          </w:p>
        </w:tc>
        <w:tc>
          <w:tcPr>
            <w:tcW w:w="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center"/>
              <w:ind w:right="95"/>
              <w:spacing w:after="0" w:line="149" w:lineRule="exact"/>
              <w:rPr>
                <w:sz w:val="20"/>
                <w:szCs w:val="20"/>
                <w:color w:val="auto"/>
              </w:rPr>
            </w:pPr>
            <w:r>
              <w:rPr>
                <w:rFonts w:ascii="Arial" w:cs="Arial" w:eastAsia="Arial" w:hAnsi="Arial"/>
                <w:sz w:val="14"/>
                <w:szCs w:val="14"/>
                <w:color w:val="auto"/>
                <w:w w:val="96"/>
              </w:rPr>
              <w:t>Land Not Owned -</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Preacquisition</w:t>
            </w:r>
          </w:p>
        </w:tc>
        <w:tc>
          <w:tcPr>
            <w:tcW w:w="320" w:type="dxa"/>
            <w:vAlign w:val="bottom"/>
          </w:tcPr>
          <w:p>
            <w:pPr>
              <w:spacing w:after="0"/>
              <w:rPr>
                <w:sz w:val="12"/>
                <w:szCs w:val="12"/>
                <w:color w:val="auto"/>
              </w:rPr>
            </w:pPr>
          </w:p>
        </w:tc>
        <w:tc>
          <w:tcPr>
            <w:tcW w:w="14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Remaining</w:t>
            </w:r>
          </w:p>
        </w:tc>
        <w:tc>
          <w:tcPr>
            <w:tcW w:w="180" w:type="dxa"/>
            <w:vAlign w:val="bottom"/>
          </w:tcPr>
          <w:p>
            <w:pPr>
              <w:spacing w:after="0"/>
              <w:rPr>
                <w:sz w:val="12"/>
                <w:szCs w:val="12"/>
                <w:color w:val="auto"/>
              </w:rPr>
            </w:pPr>
          </w:p>
        </w:tc>
        <w:tc>
          <w:tcPr>
            <w:tcW w:w="1440" w:type="dxa"/>
            <w:vAlign w:val="bottom"/>
          </w:tcPr>
          <w:p>
            <w:pPr>
              <w:jc w:val="center"/>
              <w:ind w:right="95"/>
              <w:spacing w:after="0" w:line="149" w:lineRule="exact"/>
              <w:rPr>
                <w:sz w:val="20"/>
                <w:szCs w:val="20"/>
                <w:color w:val="auto"/>
              </w:rPr>
            </w:pPr>
            <w:r>
              <w:rPr>
                <w:rFonts w:ascii="Arial" w:cs="Arial" w:eastAsia="Arial" w:hAnsi="Arial"/>
                <w:sz w:val="14"/>
                <w:szCs w:val="14"/>
                <w:color w:val="auto"/>
                <w:w w:val="93"/>
              </w:rPr>
              <w:t>Under Option</w:t>
            </w:r>
          </w:p>
        </w:tc>
        <w:tc>
          <w:tcPr>
            <w:tcW w:w="0" w:type="dxa"/>
            <w:vAlign w:val="bottom"/>
          </w:tcPr>
          <w:p>
            <w:pPr>
              <w:spacing w:after="0"/>
              <w:rPr>
                <w:sz w:val="1"/>
                <w:szCs w:val="1"/>
                <w:color w:val="auto"/>
              </w:rPr>
            </w:pPr>
          </w:p>
        </w:tc>
      </w:tr>
      <w:tr>
        <w:trPr>
          <w:trHeight w:val="188"/>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Costs Incurred</w:t>
            </w:r>
          </w:p>
        </w:tc>
        <w:tc>
          <w:tcPr>
            <w:tcW w:w="320" w:type="dxa"/>
            <w:vAlign w:val="bottom"/>
          </w:tcPr>
          <w:p>
            <w:pPr>
              <w:spacing w:after="0"/>
              <w:rPr>
                <w:sz w:val="16"/>
                <w:szCs w:val="16"/>
                <w:color w:val="auto"/>
              </w:rPr>
            </w:pPr>
          </w:p>
        </w:tc>
        <w:tc>
          <w:tcPr>
            <w:tcW w:w="1440" w:type="dxa"/>
            <w:vAlign w:val="bottom"/>
            <w:gridSpan w:val="2"/>
          </w:tcPr>
          <w:p>
            <w:pPr>
              <w:ind w:left="200"/>
              <w:spacing w:after="0"/>
              <w:rPr>
                <w:sz w:val="20"/>
                <w:szCs w:val="20"/>
                <w:color w:val="auto"/>
              </w:rPr>
            </w:pPr>
            <w:r>
              <w:rPr>
                <w:rFonts w:ascii="Arial" w:cs="Arial" w:eastAsia="Arial" w:hAnsi="Arial"/>
                <w:sz w:val="14"/>
                <w:szCs w:val="14"/>
                <w:color w:val="auto"/>
              </w:rPr>
              <w:t>Obligation</w:t>
            </w:r>
          </w:p>
        </w:tc>
        <w:tc>
          <w:tcPr>
            <w:tcW w:w="180" w:type="dxa"/>
            <w:vAlign w:val="bottom"/>
          </w:tcPr>
          <w:p>
            <w:pPr>
              <w:spacing w:after="0"/>
              <w:rPr>
                <w:sz w:val="16"/>
                <w:szCs w:val="16"/>
                <w:color w:val="auto"/>
              </w:rPr>
            </w:pPr>
          </w:p>
        </w:tc>
        <w:tc>
          <w:tcPr>
            <w:tcW w:w="1440" w:type="dxa"/>
            <w:vAlign w:val="bottom"/>
          </w:tcPr>
          <w:p>
            <w:pPr>
              <w:jc w:val="center"/>
              <w:ind w:right="95"/>
              <w:spacing w:after="0"/>
              <w:rPr>
                <w:sz w:val="20"/>
                <w:szCs w:val="20"/>
                <w:color w:val="auto"/>
              </w:rPr>
            </w:pPr>
            <w:r>
              <w:rPr>
                <w:rFonts w:ascii="Arial" w:cs="Arial" w:eastAsia="Arial" w:hAnsi="Arial"/>
                <w:sz w:val="14"/>
                <w:szCs w:val="14"/>
                <w:color w:val="auto"/>
                <w:w w:val="92"/>
              </w:rPr>
              <w:t>Agreements</w:t>
            </w:r>
          </w:p>
        </w:tc>
        <w:tc>
          <w:tcPr>
            <w:tcW w:w="0" w:type="dxa"/>
            <w:vAlign w:val="bottom"/>
          </w:tcPr>
          <w:p>
            <w:pPr>
              <w:spacing w:after="0"/>
              <w:rPr>
                <w:sz w:val="1"/>
                <w:szCs w:val="1"/>
                <w:color w:val="auto"/>
              </w:rPr>
            </w:pPr>
          </w:p>
        </w:tc>
      </w:tr>
      <w:tr>
        <w:trPr>
          <w:trHeight w:val="250"/>
        </w:trPr>
        <w:tc>
          <w:tcPr>
            <w:tcW w:w="5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 of June 30, 2012</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Consolidated VIEs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ind w:right="16"/>
              <w:spacing w:after="0"/>
              <w:rPr>
                <w:sz w:val="20"/>
                <w:szCs w:val="20"/>
                <w:color w:val="auto"/>
              </w:rPr>
            </w:pPr>
            <w:r>
              <w:rPr>
                <w:rFonts w:ascii="Arial" w:cs="Arial" w:eastAsia="Arial" w:hAnsi="Arial"/>
                <w:sz w:val="18"/>
                <w:szCs w:val="18"/>
                <w:b w:val="1"/>
                <w:bCs w:val="1"/>
                <w:color w:val="auto"/>
              </w:rPr>
              <w:t>7,191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b w:val="1"/>
                <w:bCs w:val="1"/>
                <w:color w:val="auto"/>
              </w:rPr>
              <w:t>3,347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ind w:right="15"/>
              <w:spacing w:after="0"/>
              <w:rPr>
                <w:sz w:val="20"/>
                <w:szCs w:val="20"/>
                <w:color w:val="auto"/>
              </w:rPr>
            </w:pPr>
            <w:r>
              <w:rPr>
                <w:rFonts w:ascii="Arial" w:cs="Arial" w:eastAsia="Arial" w:hAnsi="Arial"/>
                <w:sz w:val="18"/>
                <w:szCs w:val="18"/>
                <w:b w:val="1"/>
                <w:bCs w:val="1"/>
                <w:color w:val="auto"/>
              </w:rPr>
              <w:t>10,537</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consolidated lot option agreements (a)</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2,682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3,541</w:t>
            </w: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Unconsolidated lot option agreements</w:t>
            </w:r>
          </w:p>
        </w:tc>
        <w:tc>
          <w:tcPr>
            <w:tcW w:w="24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b w:val="1"/>
                <w:bCs w:val="1"/>
                <w:color w:val="auto"/>
              </w:rPr>
              <w:t>16,601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b w:val="1"/>
                <w:bCs w:val="1"/>
                <w:color w:val="auto"/>
              </w:rPr>
              <w:t>191,272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lot option agreements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24,651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197,301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14,078</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As of September 30, 2011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VIEs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7,415</w:t>
            </w: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Other consolidated lot option agreements (a)</w:t>
            </w:r>
          </w:p>
        </w:tc>
        <w:tc>
          <w:tcPr>
            <w:tcW w:w="24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4,175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4,338</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Unconsolidated lot option agreements</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13,732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219,841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00" w:type="dxa"/>
            <w:vAlign w:val="bottom"/>
          </w:tcPr>
          <w:p>
            <w:pPr>
              <w:ind w:left="280"/>
              <w:spacing w:after="0"/>
              <w:rPr>
                <w:sz w:val="20"/>
                <w:szCs w:val="20"/>
                <w:color w:val="auto"/>
              </w:rPr>
            </w:pPr>
            <w:r>
              <w:rPr>
                <w:rFonts w:ascii="Arial" w:cs="Arial" w:eastAsia="Arial" w:hAnsi="Arial"/>
                <w:sz w:val="18"/>
                <w:szCs w:val="18"/>
                <w:color w:val="auto"/>
              </w:rPr>
              <w:t>Total lot option agreements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20,097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225,230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11,753</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36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Represents lot option agreements with non-VIE entities that we have deemed to be “financing arrangements” pursuant to ASC 470-40, </w:t>
      </w:r>
      <w:r>
        <w:rPr>
          <w:rFonts w:ascii="Arial" w:cs="Arial" w:eastAsia="Arial" w:hAnsi="Arial"/>
          <w:sz w:val="18"/>
          <w:szCs w:val="18"/>
          <w:i w:val="1"/>
          <w:iCs w:val="1"/>
          <w:color w:val="auto"/>
        </w:rPr>
        <w:t>Product</w:t>
      </w:r>
      <w:r>
        <w:rPr>
          <w:rFonts w:ascii="Arial" w:cs="Arial" w:eastAsia="Arial" w:hAnsi="Arial"/>
          <w:sz w:val="18"/>
          <w:szCs w:val="18"/>
          <w:color w:val="auto"/>
        </w:rPr>
        <w:t xml:space="preserve"> </w:t>
      </w:r>
      <w:r>
        <w:rPr>
          <w:rFonts w:ascii="Arial" w:cs="Arial" w:eastAsia="Arial" w:hAnsi="Arial"/>
          <w:sz w:val="18"/>
          <w:szCs w:val="18"/>
          <w:i w:val="1"/>
          <w:iCs w:val="1"/>
          <w:color w:val="auto"/>
        </w:rPr>
        <w:t>Financing Arrangements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Interest</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ability to capitalize all interest incurred during the three and nine months ended June 30, 2012 and 2011 has been limited by our inventory eligible for capitalization. The following table sets forth certain information regarding interest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88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24"/>
                <w:szCs w:val="24"/>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2011</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2011</w:t>
            </w: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interest in inventory, beginning of period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47,242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47,624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45,973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36,884</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Interest incurred</w:t>
            </w:r>
          </w:p>
        </w:tc>
        <w:tc>
          <w:tcPr>
            <w:tcW w:w="2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b w:val="1"/>
                <w:bCs w:val="1"/>
                <w:color w:val="auto"/>
              </w:rPr>
              <w:t>31,235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32,872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b w:val="1"/>
                <w:bCs w:val="1"/>
                <w:color w:val="auto"/>
              </w:rPr>
              <w:t>95,950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98,175</w:t>
            </w:r>
          </w:p>
        </w:tc>
      </w:tr>
      <w:tr>
        <w:trPr>
          <w:trHeight w:val="27"/>
        </w:trPr>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interest impaired</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(1,789)</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Interest expense not qualified for capitalization and included as other expense</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(17,233)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(17,707)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(55,147)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(55,688)</w:t>
            </w:r>
          </w:p>
        </w:tc>
      </w:tr>
      <w:tr>
        <w:trPr>
          <w:trHeight w:val="27"/>
        </w:trPr>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interest amortized to house construction and land sales expenses</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(11,179)</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(41,128)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(26,352)</w:t>
            </w: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color w:val="auto"/>
              </w:rPr>
              <w:t>Capitalized interest in inventory, end of period</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45,373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51,230</w:t>
            </w:r>
          </w:p>
        </w:tc>
        <w:tc>
          <w:tcPr>
            <w:tcW w:w="2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45,373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51,230</w:t>
            </w:r>
          </w:p>
        </w:tc>
      </w:tr>
      <w:tr>
        <w:trPr>
          <w:trHeight w:val="27"/>
        </w:trPr>
        <w:tc>
          <w:tcPr>
            <w:tcW w:w="6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outstanding common stock equivalents were excluded from the diluted loss per share calculations for the three and nine months ended June 30, 2012 and 2011 because the effect of their inclusion would be antidilutive, or would decrease the reported loss per share. The computation of basic loss per share for the nine months ended June 30, 2012 includes approximately 9.7 million weighted average shares outstanding related to the exchange of our Mandatory Convertible Subordinated Notes and Tangible Equity Units (TEUs) discussed below.</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quarter ended March 31, 2012, we exchanged 11.0 million shares of our common stock for $48.1 million of our Mandatory Convertible Subordinated Notes and 13.8 million shares of our common stock for 2.8 million TEUs comprised of prepaid stock purchase contracts and senior amortizing notes. As of June 30, 2012, there is $9.4 million of Mandatory Convertible Subordinated Notes and 0.2 million TEUs outstanding (including $0.4 million of amortizing notes). If these instruments were converted at the maximum settlement factor under their respective agreements, we would be required to issue approximately 2.8 million shares of common stock to the instrument holders upon conversion. See Note 7 below for additional information related to the March 2012 respective conversion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340"/>
          </w:cols>
          <w:pgMar w:left="240" w:top="122" w:right="31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Borrowings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At June 30, 2012 and September 30, 2011 we had the following long-term debt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Maturity Date</w:t>
            </w:r>
          </w:p>
        </w:tc>
        <w:tc>
          <w:tcPr>
            <w:tcW w:w="280" w:type="dxa"/>
            <w:vAlign w:val="bottom"/>
          </w:tcPr>
          <w:p>
            <w:pPr>
              <w:spacing w:after="0"/>
              <w:rPr>
                <w:sz w:val="20"/>
                <w:szCs w:val="20"/>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2012</w:t>
            </w:r>
          </w:p>
        </w:tc>
        <w:tc>
          <w:tcPr>
            <w:tcW w:w="20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color w:val="auto"/>
                <w:w w:val="90"/>
              </w:rPr>
              <w:t>September 30, 2011</w:t>
            </w:r>
          </w:p>
        </w:tc>
      </w:tr>
      <w:tr>
        <w:trPr>
          <w:trHeight w:val="27"/>
        </w:trPr>
        <w:tc>
          <w:tcPr>
            <w:tcW w:w="53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 7/8% Senior Notes</w:t>
            </w:r>
          </w:p>
        </w:tc>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July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172,454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172,454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8 1/8% Senior Notes</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2016</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rPr>
              <w:t>172,879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172,879</w:t>
            </w:r>
          </w:p>
        </w:tc>
      </w:tr>
      <w:tr>
        <w:trPr>
          <w:trHeight w:val="27"/>
        </w:trPr>
        <w:tc>
          <w:tcPr>
            <w:tcW w:w="5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 Senior Secured Notes</w:t>
            </w:r>
          </w:p>
        </w:tc>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October 2017</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9 1/8% Senior Notes</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2018</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rPr>
              <w:t>300,000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300,000</w:t>
            </w:r>
          </w:p>
        </w:tc>
      </w:tr>
      <w:tr>
        <w:trPr>
          <w:trHeight w:val="27"/>
        </w:trPr>
        <w:tc>
          <w:tcPr>
            <w:tcW w:w="5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 1/8% Senior Notes</w:t>
            </w:r>
          </w:p>
        </w:tc>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May 2019</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TEU Senior Amortizing Notes</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2013</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rPr>
              <w:t>392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10,062</w:t>
            </w:r>
          </w:p>
        </w:tc>
      </w:tr>
      <w:tr>
        <w:trPr>
          <w:trHeight w:val="27"/>
        </w:trPr>
        <w:tc>
          <w:tcPr>
            <w:tcW w:w="5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discounts</w:t>
            </w:r>
          </w:p>
        </w:tc>
        <w:tc>
          <w:tcPr>
            <w:tcW w:w="1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(23,243)</w:t>
            </w:r>
          </w:p>
        </w:tc>
      </w:tr>
      <w:tr>
        <w:trPr>
          <w:trHeight w:val="237"/>
        </w:trPr>
        <w:tc>
          <w:tcPr>
            <w:tcW w:w="5380" w:type="dxa"/>
            <w:vAlign w:val="bottom"/>
          </w:tcPr>
          <w:p>
            <w:pPr>
              <w:ind w:left="380"/>
              <w:spacing w:after="0"/>
              <w:rPr>
                <w:sz w:val="20"/>
                <w:szCs w:val="20"/>
                <w:color w:val="auto"/>
              </w:rPr>
            </w:pPr>
            <w:r>
              <w:rPr>
                <w:rFonts w:ascii="Arial" w:cs="Arial" w:eastAsia="Arial" w:hAnsi="Arial"/>
                <w:sz w:val="18"/>
                <w:szCs w:val="18"/>
                <w:color w:val="auto"/>
              </w:rPr>
              <w:t>Total Senior Notes, net</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1,125,377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1,132,152</w:t>
            </w:r>
          </w:p>
        </w:tc>
      </w:tr>
      <w:tr>
        <w:trPr>
          <w:trHeight w:val="27"/>
        </w:trPr>
        <w:tc>
          <w:tcPr>
            <w:tcW w:w="538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Mandatory Convertible Subordinated Notes</w:t>
            </w:r>
          </w:p>
        </w:tc>
        <w:tc>
          <w:tcPr>
            <w:tcW w:w="20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January 2013</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57,500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Junior subordinated notes</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2036</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rPr>
              <w:t>51,087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49,537</w:t>
            </w:r>
          </w:p>
        </w:tc>
      </w:tr>
      <w:tr>
        <w:trPr>
          <w:trHeight w:val="27"/>
        </w:trPr>
        <w:tc>
          <w:tcPr>
            <w:tcW w:w="5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Secured Loan</w:t>
            </w:r>
          </w:p>
        </w:tc>
        <w:tc>
          <w:tcPr>
            <w:tcW w:w="20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November 2017</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247,368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247,368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secured notes payable</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Various Dates</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rPr>
              <w:t>9,173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2,269</w:t>
            </w:r>
          </w:p>
        </w:tc>
      </w:tr>
      <w:tr>
        <w:trPr>
          <w:trHeight w:val="27"/>
        </w:trPr>
        <w:tc>
          <w:tcPr>
            <w:tcW w:w="538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debt, net</w:t>
            </w:r>
          </w:p>
        </w:tc>
        <w:tc>
          <w:tcPr>
            <w:tcW w:w="1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1,442,407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1,488,826</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Secured Revolving Credit Facility — </w:t>
      </w:r>
      <w:r>
        <w:rPr>
          <w:rFonts w:ascii="Arial" w:cs="Arial" w:eastAsia="Arial" w:hAnsi="Arial"/>
          <w:sz w:val="18"/>
          <w:szCs w:val="18"/>
          <w:color w:val="auto"/>
        </w:rPr>
        <w:t>In July 2011, we entered into an amendment to extend the maturity of our $22 million Secured Revolving Credit</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to August 2012. The Secured Revolving Credit Facility is provided by one lender. The Secured Revolving Credit Facility provides for future working capital and letter of credit needs collateralized by either cash or assets of the Company at our option, based on certain conditions and covenant compliance. As of June 30, 2012, we were in compliance with all such covenants. We have elected to cash collateralize all letters of credit; however, as of June 30, 2012, we have pledged approximately $1.0 billion of inventory assets to our Senior Secured Revolving Credit Facility to collateralize potential future borrowings or letters of credit. The Secured Revolving Credit Facility contains certain covenants, including negative covenants and financial maintenance covenants, with which we are required to comply. Subject to our option to cash collateralize our obligations under the Secured Revolving Credit Facility upon certain conditions, our obligations under the Secured Revolving Credit Facility are secured by liens on substantially all of our personal property and a significant portion of our owned real properties. There were no outstanding borrowings under the Secured Revolving Credit Facility as of June 30, 2012 or September 30, 2011.</w:t>
      </w:r>
    </w:p>
    <w:p>
      <w:pPr>
        <w:spacing w:after="0" w:line="136"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We have entered into stand-alone, cash-secured letter of credit agreements with banks to maintain our pre-existing letters of credit and to provide for the issuance of new letters of credit. The letter of credit arrangements combined with our Secured Revolving Credit Facility provide a total letter of credit capacity of approximately $92.0 million. As of June 30, 2012 and September 30, 2011, we have secured letters of credit using cash collateral in restricted accounts totaling $23.8 million and $28.9 million, respectively. The Company may enter into additional arrangements to provide additional letter of credit capacity.</w:t>
      </w:r>
    </w:p>
    <w:p>
      <w:pPr>
        <w:spacing w:after="0" w:line="13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Senior Notes </w:t>
      </w:r>
      <w:r>
        <w:rPr>
          <w:rFonts w:ascii="Arial" w:cs="Arial" w:eastAsia="Arial" w:hAnsi="Arial"/>
          <w:sz w:val="18"/>
          <w:szCs w:val="18"/>
          <w:color w:val="auto"/>
        </w:rPr>
        <w:t>— The majority of our Senior Notes are unsecured or secured obligations ranking pari passu with all other existing and future senior</w:t>
      </w:r>
      <w:r>
        <w:rPr>
          <w:rFonts w:ascii="Arial" w:cs="Arial" w:eastAsia="Arial" w:hAnsi="Arial"/>
          <w:sz w:val="18"/>
          <w:szCs w:val="18"/>
          <w:b w:val="1"/>
          <w:bCs w:val="1"/>
          <w:color w:val="auto"/>
        </w:rPr>
        <w:t xml:space="preserve"> </w:t>
      </w:r>
      <w:r>
        <w:rPr>
          <w:rFonts w:ascii="Arial" w:cs="Arial" w:eastAsia="Arial" w:hAnsi="Arial"/>
          <w:sz w:val="18"/>
          <w:szCs w:val="18"/>
          <w:color w:val="auto"/>
        </w:rPr>
        <w:t>indebtedness. Substantially all of our significant subsidiaries are full and unconditional guarantors of the Senior Notes and are jointly and severally liable for obligations under the Senior Notes and the Secured Revolving Credit Facility. Each guarantor subsidiary is a 100% owned subsidiary of Beazer Homes. As of June 30, 2012, we were in compliance with all covenants under our Senior Notes.</w:t>
      </w:r>
    </w:p>
    <w:p>
      <w:pPr>
        <w:spacing w:after="0" w:line="13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indentures under which the Senior Notes were issued contain certain restrictive covenants, including limitations on payment of dividends. At June 30, 2012, under the most restrictive covenants of each indenture, no portion of our retained earnings was available for cash dividends or for share repurchases. The indentures provide that, in the event of defined changes in control or if our consolidated tangible net worth falls below a specified level or in certain circumstances upon a sale of assets, we are required to offer to repurchase certain specified amounts of outstanding Senior Notes. Specifically, certain indentures require us to offer to purchase 10% of the original amount of the Senior Notes at par if our consolidated tangible net worth (defined as stockholders’ equity less intangible assets) is less than $85 million at the end of any two consecutive fiscal quarters. If triggered and fully subscribed, this could result in our having to purchase $62.5 million of notes, based on the original amounts of the applicable notes; however, this amount may be reduced by certain Senior Note repurchases (potentially at less than par) made after the triggering date. As of June 30, 2012, our consolidated tangible net worth was $141.2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November 2010, we issued $250 million aggregate principal amount of 9 1/8% Senior Notes due May 15, 2019 in a private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placement. Interest on these notes is payable semi-annually in cash in arrears, commencing on May 15, 2011. These notes are unsecured and rank equally with our unsecured indebtedness. We may, at our option, redeem the 9 1/8% Senior Notes in whole or in part at any time at specified redemption prices which include a “make whole” provision through May 15, 2014. During fiscal year 2011, we offered to exchange substantially all of the $250 million 9 1/8% Senior Notes due 2019 for notes that were publically traded and registered under the Securities Act of 1933. Approximately $250 million of the 9 1/8% Senior Notes were exchanged for the publically traded and registered 9 1/8% Senior Notes during the fourth quarter of fiscal 2011.</w:t>
      </w:r>
    </w:p>
    <w:p>
      <w:pPr>
        <w:spacing w:after="0" w:line="10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 xml:space="preserve">During fiscal 2011, we redeemed or repurchased in open market transactions $209.5 million principal amount of our Senior Notes ($164.5 million of 6 </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Senior Notes due 2013, $37.0 million of 6 7/8% Senior Notes due 2015 and $8.0 million of 8 1/8% Senior Notes due 2016). The aggregate purchase price was $210.0 million, plus accrued and unpaid interest as of the purchase date. The redemption/repurchase of the notes resulted in a $2.9 million pre-tax loss on extinguishment of debt, net of unamortized discounts and debt issuance costs related to these notes. All Senior Notes redeemed/repurchased by the Company were cancelled.</w:t>
      </w:r>
    </w:p>
    <w:p>
      <w:pPr>
        <w:spacing w:after="0" w:line="14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 xml:space="preserve">Senior Notes: Tangible Equity Units </w:t>
      </w:r>
      <w:r>
        <w:rPr>
          <w:rFonts w:ascii="Arial" w:cs="Arial" w:eastAsia="Arial" w:hAnsi="Arial"/>
          <w:sz w:val="18"/>
          <w:szCs w:val="18"/>
          <w:color w:val="auto"/>
        </w:rPr>
        <w:t>— In May 2010, we issued 3 million 7.25% TEUs which were comprised of prepaid stock purchase contracts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senior amortizing notes. As these two components of the TEUs are legally separate and detachable, we have accounted for the two components as separate items for financial reporting purposes and valued them based on their relative fair value at the date of issuance. The amortizing notes are unsecured senior obligations and rank equally with all of our other unsecured indebtedness and had an aggregate initial principal amount of $15.7 million as determined under the relative fair value method. Outstanding notes pay quarterly installments of principal and interest through August 15, 2013, and in the aggregate, these installments will be equivalent to a 7.25% cash payment per year with respect to each $25 stated amount of the TEUs. The prepaid stock purchase contracts were originally accounted for as equity (additional paid in capital) and recorded at $57.4 million, the initial fair value of these contracts based on the relative fair value method.</w:t>
      </w:r>
    </w:p>
    <w:p>
      <w:pPr>
        <w:spacing w:after="0" w:line="13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the quarter ended March 31, 2012, we exchanged 13.8 million shares of our common stock for 2.8 million TEUs (comprised of prepaid stock purchase contracts and $7.2 million of senior amortizing notes). Since our offer to convert the TEUs included a premium share component and was not pursuant to the instrument's original conversion terms, we accounted for the exchange as an induced conversion of the TEUs. We compared the fair value of the common stock issued to the fair value of the TEU instruments at the date of acceptance in order to determine the premium of the consideration. This premium was then allocated between the debt and equity components of the TEUs based on each components relative fair value. The difference between the implied fair value of the amortizing notes (including the premium allocation) and the carrying value of the amortizing notes was recognized as a loss on extinguishment of debt during the quarter ended March 31, 2012 and totaled approximately $0.7 million. The remaining related prepaid stock purchase contracts will be settled in Beazer Homes’ common stock on August 15, 2013.</w:t>
      </w:r>
    </w:p>
    <w:p>
      <w:pPr>
        <w:spacing w:after="0" w:line="121"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Mandatory Convertible Subordinated Notes — </w:t>
      </w:r>
      <w:r>
        <w:rPr>
          <w:rFonts w:ascii="Arial" w:cs="Arial" w:eastAsia="Arial" w:hAnsi="Arial"/>
          <w:sz w:val="17"/>
          <w:szCs w:val="17"/>
          <w:color w:val="auto"/>
        </w:rPr>
        <w:t>On January 12, 2010, we issued $57.5 million aggregate principal amount of 7 1/2% Mandatory</w:t>
      </w:r>
      <w:r>
        <w:rPr>
          <w:rFonts w:ascii="Arial" w:cs="Arial" w:eastAsia="Arial" w:hAnsi="Arial"/>
          <w:sz w:val="17"/>
          <w:szCs w:val="17"/>
          <w:b w:val="1"/>
          <w:bCs w:val="1"/>
          <w:color w:val="auto"/>
        </w:rPr>
        <w:t xml:space="preserve"> </w:t>
      </w:r>
      <w:r>
        <w:rPr>
          <w:rFonts w:ascii="Arial" w:cs="Arial" w:eastAsia="Arial" w:hAnsi="Arial"/>
          <w:sz w:val="17"/>
          <w:szCs w:val="17"/>
          <w:color w:val="auto"/>
        </w:rPr>
        <w:t>Convertible Subordinated Notes due 2013 (the Mandatory Convertible Subordinated Notes). Interest on the Mandatory Convertible Subordinated Notes is payable quarterly in cash in arrears. Holders of the Mandatory Convertible Subordinated Notes have the right to convert their notes, in whole or in part, at any time prior to maturity, into shares of our common stock at a fixed conversion rate of 5.4348 shares per $25 principal amount of notes.</w:t>
      </w:r>
    </w:p>
    <w:p>
      <w:pPr>
        <w:spacing w:after="0" w:line="11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During the quarter ended March 31, 2012, we exchanged 11.0 million shares of our common stock for $48.1 million of our Mandatory Convertible Subordinated Notes. Since our offer to convert these notes included a premium share component, we accounted for the exchange as an induced conversion of these notes. We recognized a $2.0 million inducement expense equal to the fair value of the premium shares issued based on our common stock price as of the date of acceptance. This expense is included in loss on extinguishment of debt for the nine months ended June 30, 2012.</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maturity, the remaining $9.4 million of outstanding notes will automatically convert into the Company’s common stock at a defined conversion rate which will range from 4.4547 to 5.4348 (the initial conversion rate) shares per $25 principal amount of notes based on the then current price of the common stock. The securities are subordinated to nonconvertible debt, the conversion feature is non-detachable and there are no beneficial conversion features associated with this debt. If our consolidated tangible net worth is less than $85 million as of the last day of a fiscal quarter, the Company has the right to require holders to convert all of the notes then outstanding for shares of our common stock at the maximum conversion rate plus a conversion premium as described in the agreement.</w:t>
      </w:r>
    </w:p>
    <w:p>
      <w:pPr>
        <w:spacing w:after="0" w:line="135"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b w:val="1"/>
          <w:bCs w:val="1"/>
          <w:color w:val="auto"/>
        </w:rPr>
        <w:t xml:space="preserve">Junior Subordinated Notes — </w:t>
      </w:r>
      <w:r>
        <w:rPr>
          <w:rFonts w:ascii="Arial" w:cs="Arial" w:eastAsia="Arial" w:hAnsi="Arial"/>
          <w:sz w:val="16"/>
          <w:szCs w:val="16"/>
          <w:color w:val="auto"/>
        </w:rPr>
        <w:t>On June 15, 2006, we completed a private placement of $103.1 million of unsecured junior subordinated notes which mature</w:t>
      </w:r>
      <w:r>
        <w:rPr>
          <w:rFonts w:ascii="Arial" w:cs="Arial" w:eastAsia="Arial" w:hAnsi="Arial"/>
          <w:sz w:val="16"/>
          <w:szCs w:val="16"/>
          <w:b w:val="1"/>
          <w:bCs w:val="1"/>
          <w:color w:val="auto"/>
        </w:rPr>
        <w:t xml:space="preserve"> </w:t>
      </w:r>
      <w:r>
        <w:rPr>
          <w:rFonts w:ascii="Arial" w:cs="Arial" w:eastAsia="Arial" w:hAnsi="Arial"/>
          <w:sz w:val="16"/>
          <w:szCs w:val="16"/>
          <w:color w:val="auto"/>
        </w:rPr>
        <w:t>on July 30, 2036, are redeemable at par and pay a fixed rate of 7.987% for the first ten years ending July 30, 2016. Thereafter, the securities have a floating interest rate equal to three-month LIBOR plus 2.45% per annum, resetting quarterly. These notes were issued to Beazer Capital Trust I, which simultaneously issued, in a private transaction, trust preferred securities and common securities with an aggregate value of $103.1 million to fund its purchase 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these notes. The transaction is treated as debt in accordance with GAAP. The obligations relating to these notes and the related securities are subordinated to the Secured Revolving Credit Facility and the Senior Notes.</w:t>
      </w:r>
    </w:p>
    <w:p>
      <w:pPr>
        <w:spacing w:after="0" w:line="116"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On January 15, 2010, we completed an exchange of $75 million of our trust preferred securities issued by Beazer Capital Trust I for a new issue of $75 million of junior subordinated notes due July 30, 2036 issued by the Company (the New Junior Notes). The exchanged trust preferred securities and the related junior subordinated notes issued in 2006 were cancelled effective January 15, 2010. The material terms of the New Junior Notes are identical to the terms of the original trust securities except that when the New Junior Notes change from a fixed rate to a variable rate in August 2016, the variable rate is subject to a floor of 4.25% and a cap of 9.25%. In addition, the Company now has the option to redeem the New Junior Notes beginning on June 1, 2012 at 75% of par value and beginning on June 1, 2022, the redemption price of 75% of par value will increase by 1.785% per year.</w:t>
      </w:r>
    </w:p>
    <w:p>
      <w:pPr>
        <w:spacing w:after="0" w:line="1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aforementioned exchange has been accounted for as an extinguishment of debt as there has been a significant modification of cash flows and, as such, the New Junior Notes were recorded at their estimated fair value at the exchange date. Over the remaining life of the New Junior Notes, we will increase their carrying value until this carrying value equals the face value of the notes. As of June 30, 2012, the unamortized accretion was $49.7 million and will be amortized over the remaining life of the notes.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2012, we were in compliance with all covenants under our Junior Notes.</w:t>
      </w:r>
    </w:p>
    <w:p>
      <w:pPr>
        <w:spacing w:after="0" w:line="16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Cash Secured Loans — </w:t>
      </w:r>
      <w:r>
        <w:rPr>
          <w:rFonts w:ascii="Arial" w:cs="Arial" w:eastAsia="Arial" w:hAnsi="Arial"/>
          <w:sz w:val="18"/>
          <w:szCs w:val="18"/>
          <w:color w:val="auto"/>
        </w:rPr>
        <w:t>In November 2010, we entered into two separate loan facilities for a combined total of $275 million. Borrowing under the cash</w:t>
      </w:r>
      <w:r>
        <w:rPr>
          <w:rFonts w:ascii="Arial" w:cs="Arial" w:eastAsia="Arial" w:hAnsi="Arial"/>
          <w:sz w:val="18"/>
          <w:szCs w:val="18"/>
          <w:b w:val="1"/>
          <w:bCs w:val="1"/>
          <w:color w:val="auto"/>
        </w:rPr>
        <w:t xml:space="preserve"> </w:t>
      </w:r>
      <w:r>
        <w:rPr>
          <w:rFonts w:ascii="Arial" w:cs="Arial" w:eastAsia="Arial" w:hAnsi="Arial"/>
          <w:sz w:val="18"/>
          <w:szCs w:val="18"/>
          <w:color w:val="auto"/>
        </w:rPr>
        <w:t>secured loan facilities will replenish cash used to repay or repurchase the Company’s debt and would be considered “refinancing indebtedness” under certain of the Company’s existing indentures and debt covenants. However, because the loans are fully collateralized by cash equal to the loan amount, the loans do not provide liquidity to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lenders of these facilities may put the outstanding loan balances to the Company at the two or four year anniversaries of the loan. The loan matures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seven years. Borrowings under the facilities are fully secured by cash held by the lender or its affiliates. This secured cash is reflected as restricted cash on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unaudited condensed consolidated balance sheet as of June 30, 2012. We borrowed $32.6 million at inception of the loans. As previously indicated and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order to protect financing capacity available under our covenant refinancing basket related to previous or future debt repayments, we borrowed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$214.8 million under the cash secured loan facilities in the quarter ended June 30, 2011, bringing the aggregated outstanding cash secured term loans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$247.4 million. The cash secured loan has an interest rate equivalent to LIBOR plus 0.4% per annum which is paid every three months following the effective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 of each borrowing.</w:t>
      </w:r>
    </w:p>
    <w:p>
      <w:pPr>
        <w:spacing w:after="0" w:line="15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Other Secured Notes Payable — </w:t>
      </w:r>
      <w:r>
        <w:rPr>
          <w:rFonts w:ascii="Arial" w:cs="Arial" w:eastAsia="Arial" w:hAnsi="Arial"/>
          <w:sz w:val="18"/>
          <w:szCs w:val="18"/>
          <w:color w:val="auto"/>
        </w:rPr>
        <w:t>We periodically acquire land through the issuance of notes payable. As of June 30, 2012 and September 30, 2011, we had</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notes payable of $9.2 million and $2.3 million respectively, primarily related to land acquisitions. These notes payable have varying expiration dates between 2012 and 2019 and have a weighted average fixed rate of 4.34% at June 30, 2012. These notes are secured by the real estate to which they relate.</w:t>
      </w:r>
    </w:p>
    <w:p>
      <w:pPr>
        <w:spacing w:after="0" w:line="13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agreements governing these secured notes payable contain various affirmative and negative covenants. There can be no assurance that we will be able to obtain any future waivers or amendments that may become necessary without significant additional cost or at all. In each instance, however, a covenant default can be cured by repayment of the indebtedness.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9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the three and nine months ended June 30, 2012, our non-cash tax provision (benefit) from continuing operations was $0.1 million and $(36.4) million, respectively primarily related to a change in our prior year’s unrecognized tax benefits. For the three months ended June 30, 2012, our unrecognized tax benefits increased by $0.1 million and for the nine months ended June 30, 2012, our unrecognized tax benefits decreased by $27.6 million, as the result of tax planning and the close of prior year statute of limitations. In addition, our total income tax benefit for the nine months ended June 30, 2012 includes the decrease in the interest accrual related to this tax benefit.</w:t>
      </w:r>
    </w:p>
    <w:p>
      <w:pPr>
        <w:spacing w:after="0" w:line="1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June 30, 2012 and September 30, 2011, respectively, we had $2.4 million and $8.2 million of accrued interest and penalties related to our unrecognized tax benefits.</w:t>
      </w:r>
    </w:p>
    <w:p>
      <w:pPr>
        <w:spacing w:after="0" w:line="11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federal income tax returns for fiscal years 2007 through 2011, and certain state income tax returns for various fiscal years are under routine examination. The final outcome of these examinations is not yet determinable and therefore the change in our unrecognized tax benefits that could occur within the next 12 months cannot be estimated at this time.</w:t>
      </w:r>
    </w:p>
    <w:p>
      <w:pPr>
        <w:spacing w:after="0" w:line="12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fiscal 2008, we determined that we did not meet the more likely than not standard that substantially all of our deferred tax assets would be realized and therefore, we established a valuation allowance for substantially all of our deferred tax assets.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Given the prolonged economic downturn affecting the homebuilding industry and the continued uncertainty regarding the recoverability of the remaining deferred tax assets, we continue to believe that a valuation allowance is needed for substantially all of our deferred tax assets. In future periods, the allowance could be modified based on sufficient evidence indicating that more likely than not a portion of our deferred tax assets will be realized. Changes in existing tax laws could also affect actual tax results and the valuation of deferred tax assets over time.</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Further, we experienced an “ownership change” as defined in Section 382 of the Internal Revenue Code (Section 382) as of January 12, 2010. Section 382 contains rules that limit the ability of a company that undergoes an “ownership change” to utilize its net operating loss carryforwards (NOLs) and certain built-in losses or deductions recognized during the five-year period after the ownership change to offset future taxable income. Therefore, our ability to utilize our pre-ownership change net operating loss carryforwards and recognize certain built-in losses or deductions is limited by Section 382 to an estimated maximum amount of approximately $11.4 million ($4 million tax-effected) annually. Certain deferred tax assets are not subject to any limitation imposed by Section 382.</w:t>
      </w:r>
    </w:p>
    <w:p>
      <w:pPr>
        <w:spacing w:after="0" w:line="13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Due to a combination of Section 382 limitations and the maximum 20-year carryforward of our NOLs, we will be unable to fully recognize certain deferred tax assets. As a result, as of June 30, 2012, our valuation allowance was $489.4 million and we expect to continue to add to our gross deferred tax assets for anticipated NOLs that will not be limited by Section 382.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Contingencies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Beazer Homes and certain of its subsidiaries have been and continue to be named as defendants in various construction defect claims, complaints and other legal actions. The Company is subject to the possibility of loss contingencies arising in its business. In determining loss contingencies, we consider the likelihood of loss as well as the ability to reasonably estimate the amount of such loss or liability. An estimated loss is recorded when it is considered probable that a liability has been incurred and when the amount of loss can be reasonably estimated.</w:t>
      </w:r>
    </w:p>
    <w:p>
      <w:pPr>
        <w:spacing w:after="0" w:line="12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 xml:space="preserve">Warranty Reserves. </w:t>
      </w:r>
      <w:r>
        <w:rPr>
          <w:rFonts w:ascii="Arial" w:cs="Arial" w:eastAsia="Arial" w:hAnsi="Arial"/>
          <w:sz w:val="18"/>
          <w:szCs w:val="18"/>
          <w:color w:val="auto"/>
        </w:rPr>
        <w:t>We currently provide a limited warranty (ranging from one to two years) covering workmanship and materials per our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quality standards. In addition, we provide a limited warranty (generally ranging from a minimum of five years up to the period covered by the applicable statute of repose) covering only certain defined construction defects. We also provide a defined structural element warranty with single-family homes and townhomes in certain states.</w:t>
      </w:r>
    </w:p>
    <w:p>
      <w:pPr>
        <w:spacing w:after="0" w:line="130"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Since we subcontract our homebuilding work to subcontractors whose contracts generally include an indemnity obligation and a requirement that certain minimum insurance requirements be met, including providing us with a certificate of insurance prior to receiving payments for their work, many claims relating to workmanship and materials are the primary responsibility of the subcontractors.</w:t>
      </w:r>
    </w:p>
    <w:p>
      <w:pPr>
        <w:spacing w:after="0" w:line="12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Warranty reserves are included in other liabilities and the provision for warranty accruals is included in home construction and land sales expenses in the unaudited condensed consolidated financial statements. We record reserves covering anticipated warranty expense for each home closed. Management reviews the adequacy of warranty reserves each reporting period based on historical experience and management’s estimate of the costs to remediate the claims and adjusts these provisions accordingly. Our review includes a quarterly analysis of the historical data and trends in warranty expense by operating segment. An analysis by operating segment allows us to consider market specific factors such as our warranty experience, the number of home closings, the prices of homes, product mix and other data in estimating our warranty reserves. In addition, our analysis also contemplates the existence of any non-recurring or community-specific warranty related matters that might not be contemplated in our historical data and trends.</w:t>
      </w:r>
    </w:p>
    <w:p>
      <w:pPr>
        <w:spacing w:after="0" w:line="11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As of June 30, 2012, we have identified 60 homes in Florida where certain of our subcontractors installed defective Chinese drywall in homes that were delivered during our 2006 and 2007 fiscal years. As of June 30, 2012, we have completed repairs on approximately 97% of these homes and we are in the process of repairing the remaining homes we have been given permission to repair. Our warranty reserves as of June 30, 2012 include an estimate for the repair of these homes. As needed, we will continue to inspect additional homes in order to determine whether they also contain the defective Chinese drywall.</w:t>
      </w:r>
    </w:p>
    <w:p>
      <w:pPr>
        <w:spacing w:after="0" w:line="10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Like most major homebuilders, we contract for many of our construction activities on a turnkey basis, including the purchase and installation of drywall. With few exceptions, our contractors purchased the drywall from independent suppliers, and then delivered and installed this drywall into Beazer’s homes. Much of the supplier data is unavailable or inconclusive. Accordingly, it is difficult for the Company to determine which suppliers were used by these contractors, which suppliers provided defective Chinese drywall during the time period at issue or what amounts may have been purchased from such suppliers. As a result, the Company is unable to determine which Beazer communities or particular homes had Chinese drywall installed without inspections, and accordingly, the amount of additional liability, if any, is not reasonably estimable. Therefore, the outcome of inspections in process and potential future inspections, or an unexpected increase in repair costs, may require us to increase our warranty reserve in the future. In addition, the Company has been named as a defendant in a number of legal actions related to</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defective Chinese drywall (see Litigation below).</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the nine months ended June 30, 2012, we received an $11 million recovery related to water intrusion warranty and legal expenses incurred in prior years. We recognized this recovery as a reduction of home construction and land sales expenses.</w:t>
      </w:r>
    </w:p>
    <w:p>
      <w:pPr>
        <w:spacing w:after="0" w:line="11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As a result of our quarterly analyses, we adjust our estimated warranty liabilities if required. While we believe our warranty reserves are adequate as of June 30, 2012, historical data and trends may not accurately predict actual warranty costs or future developments could lead to a significant change in the reserve. Our warranty reserves are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960" w:type="dxa"/>
            <w:vAlign w:val="bottom"/>
            <w:gridSpan w:val="3"/>
          </w:tcPr>
          <w:p>
            <w:pPr>
              <w:jc w:val="right"/>
              <w:ind w:right="393"/>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8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24"/>
                <w:szCs w:val="24"/>
                <w:color w:val="auto"/>
              </w:rPr>
            </w:pPr>
          </w:p>
        </w:tc>
      </w:tr>
      <w:tr>
        <w:trPr>
          <w:trHeight w:val="264"/>
        </w:trPr>
        <w:tc>
          <w:tcPr>
            <w:tcW w:w="58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2011</w:t>
            </w:r>
          </w:p>
        </w:tc>
        <w:tc>
          <w:tcPr>
            <w:tcW w:w="3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2011</w:t>
            </w: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16,133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18,699</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17,916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25,821</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Accruals for warranties issued</w:t>
            </w:r>
          </w:p>
        </w:tc>
        <w:tc>
          <w:tcPr>
            <w:tcW w:w="260" w:type="dxa"/>
            <w:vAlign w:val="bottom"/>
          </w:tcPr>
          <w:p>
            <w:pPr>
              <w:spacing w:after="0"/>
              <w:rPr>
                <w:sz w:val="21"/>
                <w:szCs w:val="21"/>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b w:val="1"/>
                <w:bCs w:val="1"/>
                <w:color w:val="auto"/>
              </w:rPr>
              <w:t>1,963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1,344</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57"/>
              <w:spacing w:after="0"/>
              <w:rPr>
                <w:sz w:val="20"/>
                <w:szCs w:val="20"/>
                <w:color w:val="auto"/>
              </w:rPr>
            </w:pPr>
            <w:r>
              <w:rPr>
                <w:rFonts w:ascii="Arial" w:cs="Arial" w:eastAsia="Arial" w:hAnsi="Arial"/>
                <w:sz w:val="18"/>
                <w:szCs w:val="18"/>
                <w:b w:val="1"/>
                <w:bCs w:val="1"/>
                <w:color w:val="auto"/>
              </w:rPr>
              <w:t>5,191</w:t>
            </w:r>
          </w:p>
        </w:tc>
        <w:tc>
          <w:tcPr>
            <w:tcW w:w="3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3,158</w:t>
            </w: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liability related to warranties existing in prior periods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(1,916)</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(3,187)</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Payments made</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(1,497)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(2,285)</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(5,157)</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(8,538)</w:t>
            </w:r>
          </w:p>
        </w:tc>
      </w:tr>
      <w:tr>
        <w:trPr>
          <w:trHeight w:val="27"/>
        </w:trPr>
        <w:tc>
          <w:tcPr>
            <w:tcW w:w="5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16,034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17,254</w:t>
            </w:r>
          </w:p>
        </w:tc>
        <w:tc>
          <w:tcPr>
            <w:tcW w:w="3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16,034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17,254</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June 3, 2009, Beazer Homes Corp. was named as a defendant in a purported class action lawsuit in the Circuit Court for Lee County, State of Florida, filed by Bryson and Kimberly Royal, the owners of one of our homes in our Magnolia Lakes' community in Ft. Myers, Florida. The complaint names the Company and certain distributors and suppliers of drywall and was on behalf of the named plaintiffs and other similarly situated owners of homes in Magnolia Lakes or alternatively in the State of Florida. The plaintiffs allege that the Company built their homes with defective drywall, manufactured in China that contains sulfur compounds that allegedly corrode certain metals and that are allegedly capable of harming the health of individuals. Plaintiffs allege physical and economic damages and seek legal and equitable relief, medical monitoring and attorney's fees. This case has been transferred to the Eastern District of Louisiana pursuant to an order from the United States Judicial Panel on Multidistrict Litigation. In addition, the Company has been named in other multi-plaintiff complaints filed in the multidistrict litigation and individual state court actions. We believe that the claims asserted in these actions are governed by home warranties or are without merit. Accordingly, the Company intends to vigorously defend against these actions. The Company has offered to repair all of these homes pursuant to a repair protocol that has been adopted by the multidistrict litigation court, including those homes involved in litigation. To date, the owners of all but two of the affected homes have accepted the Company's offer to repair. Furthermore, the Company has agreed to participate in a global class settlement with the plaintiff class counsel and numerous other defendants in the multidistrict litigation, which if approved by the Court, would resolve all claims, including future claims, against Beazer related to Chinese drywall, except those by persons or entities that opt out of the settlement. To the extent necessary, the Company intends to vigorously defend against those opt out actions. The Company also continues to pursue recovery against responsible subcontractors, drywall suppliers and drywall manufacturers for its repair costs.</w:t>
      </w:r>
    </w:p>
    <w:p>
      <w:pPr>
        <w:spacing w:after="0" w:line="19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From 1998 through 2008 Beazer Mortgage Corporation (BMC), a wholly owned subsidiary of the Company, originated mortgage loans for a portion of the Company's homebuyers. The bulk of these loans were funded by unaffiliated lenders or, to the extent initially funded by BMC, promptly sold to third party lenders and investors. We believe a large number of such loans were ultimately acquired by government sponsored entities such as the Federal National Mortgage Association (Fannie Mae). In general, underwriting decisions were not made by BMC but by the lender/investors themselves or third-party service providers. BMC is involved in litigation with one of these lenders in which the lender is seeking to recover losses allegedly sustained on such loans. On March 14, 2011, the Company and several subsidiaries were named as defendants in a lawsuit filed by Flagstar Bank, FSB in the Circuit Court for the County of Oakland, State of Michigan. The complaint demands approximately $8.7 million to recover purported losses in connection with 73 residential mortgage loan transactions under theories of breach of contract, fraud/intentional misrepresentation and other similar theories of recovery. We believe we have strong defenses to the claims on these individual loans and intend to vigorously defend the action.</w:t>
      </w:r>
    </w:p>
    <w:p>
      <w:pPr>
        <w:spacing w:after="0" w:line="12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addition, three other investors have demanded that BMC indemnify them for losses suffered with respect to other mortgage loans or repurchase such loans, largely alleging misrepresentations by the borrowers or defects in the loan origination process. We are currently investigating each of these claims and are in communications with the investors. To date, including the mortgage loans that are the subject of the lawsuit described above, we have active requests to repurchase fewer than 100 mortgage loans. While we have not been required to repurchase any of such mortgage loans, there can be no assurance that once all documentation and facts are investigated that BMC will not agree to, or be obligated to, repurchase some or all of such loans. Previously, we established an immaterial amount as a reserve for the repurchase of mortgage loans originated by BMC.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BMC did not service the loans it originated and accordingly information regarding loan performance and the underwriting process is limited or difficult to obtain. At this time, we do not believe that the exposure related to any such additional claims would be material to our consolidated financial position or results of operation. However, given the increasing focus on this issue generally, potential actions of government sponsored entities and the uncertainties regarding resolution of each claim, we cannot rule out the potential for additional mortgage loan repurchase claims in the future, potential liability for some or all of these claims or changes in our assessment of these claims which may result in establishment of additional reserves that may or may not be material. However, as of June 30, 2012 , no liability has been recorded for any such additional claims as such exposure is not reasonable estimable.</w:t>
      </w:r>
    </w:p>
    <w:p>
      <w:pPr>
        <w:spacing w:after="0" w:line="11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cannot predict or determine the timing or final outcome of the lawsuits or the effect that any adverse findings or determinations in the pending lawsuits may have on us. In addition, an estimate of possible loss or range of loss, if any, cannot presently be made with respect to certain of the above pending matters. An unfavorable determination in any of the pending lawsuits could result in the payment by us of substantial monetary damages which may not be fully covered by insurance. Further, the legal costs associated with the lawsuits and the amount of time required to be spent by management and the Board of Directors on these matters, even if we are ultimately successful, could have a material adverse effect on our business, financial condition and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4"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As disclosed in our 2009 Form 10-K, on July 1, 2009, the Company announced that it has resolved the criminal and civil investigations by the United States Attorney’s Office in the Western District of North Carolina (the U.S. Attorney) and other state and federal agencies concerning matters that were the subject of the independent investigation, initiated in April 2007 by the Audit Committee of the Board of Directors (the Investigation) and concluded in May 2008.</w:t>
      </w:r>
    </w:p>
    <w:p>
      <w:pPr>
        <w:ind w:right="80"/>
        <w:spacing w:after="0" w:line="253" w:lineRule="auto"/>
        <w:rPr>
          <w:sz w:val="20"/>
          <w:szCs w:val="20"/>
          <w:color w:val="auto"/>
        </w:rPr>
      </w:pPr>
      <w:r>
        <w:rPr>
          <w:rFonts w:ascii="Arial" w:cs="Arial" w:eastAsia="Arial" w:hAnsi="Arial"/>
          <w:sz w:val="18"/>
          <w:szCs w:val="18"/>
          <w:color w:val="auto"/>
        </w:rPr>
        <w:t>Under the terms of a deferred prosecution agreement (DPA), the Company’s liability for each of the fiscal years after 2010 through a portion of fiscal 2014 (unless extended as previously described in our 2009 Form 10-K) will be equal to 4% of the Company’s adjusted EBITDA (as defined in the DPA). The total amount of such obligations will be dependent on several factors; however, the maximum liability under the DPA and other settlement agreements discussed above will not exceed $55.0 million, of which $16 million has been paid as of June 30, 2012. Positive adjusted EBITDA in future years will require us to incur additional expense in the future.</w:t>
      </w:r>
    </w:p>
    <w:p>
      <w:pPr>
        <w:spacing w:after="0" w:line="13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2006, we received two Administrative Orders issued by the New Jersey Department of Environmental Protection. The Orders allege certain violations of wetlands disturbance permits and assess proposed fines of $630,000 and $678,000, respectively. We have met with the Department to discuss their concerns on the two affected communities and have requested hearings on both matters. Although we believe that we have significant defenses to the alleged violations, we have made a settlement proposal to the Department that is currently under consideration.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and certain of our subsidiaries have been named as defendants in various claims, complaints and other legal actions, most relating to construction defects, moisture intrusion and product liability. Certain of the liabilities resulting from these actions are covered in whole or part by insurance. In our opinion, based on our current assessment, the ultimate resolution of these matters will not have a material adverse effect on our financial condition, results of operations or cash flows.</w:t>
      </w:r>
    </w:p>
    <w:p>
      <w:pPr>
        <w:spacing w:after="0" w:line="13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have accrued $16.8 million and $30.4 million in other liabilities related to litigation and other matters, excluding warranty, as of June 30, 2012 and September 30, 2011, respectively. The amount accrued as of September 30, 2011 included $15.7 million related to the South Edge settlement obligation that was paid during the quarter ended December 31, 2011 (see Note 3 for additional information).</w:t>
      </w:r>
    </w:p>
    <w:p>
      <w:pPr>
        <w:spacing w:after="0" w:line="12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had outstanding letters of credit and performance bonds of approximately $23.8 million and $154.2 million, respectively, at June 30, 2012 related principally to our obligations to local governments to construct roads and other improvements in various developments. We have no outstanding letters of credit relating to our land option contracts as of June 30,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9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of June 30, 2012, we had no assets or liabilities in our unaudited condensed consolidated balance sheets that were required to be measured at fair value on a recurring basis. Certain of our assets are required to be recorded at fair value on a non-recurring basis when events and circumstances indicate that the carrying value may not be recovered. We use a fair value hierarchy that requires us to maximize the use of observable inputs and minimize the use of unobservable inputs when measuring fair value as follows: Level 1 – Quoted prices in active markets for identical assets or liabilities; Level 2 – Inputs other than quoted prices included in Level 1 that are observable either directly or indirectly through corroboration with market data; Level 3 – Unobservable inputs that reflect our own estimates about the assumptions market participants would use in pricing the asset or liability.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assets measured at fair value on a non-recurring basis for each hierarchy level and represents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only those assets whose carrying values were adjusted to fair value during the nine months ended June 30, 2012 and 2011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080" w:type="dxa"/>
            <w:vAlign w:val="bottom"/>
          </w:tcPr>
          <w:p>
            <w:pPr>
              <w:ind w:left="520"/>
              <w:spacing w:after="0"/>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ind w:left="520"/>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3</w:t>
            </w:r>
          </w:p>
        </w:tc>
        <w:tc>
          <w:tcPr>
            <w:tcW w:w="148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June 30, 2012</w:t>
            </w: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240" w:type="dxa"/>
            <w:vAlign w:val="bottom"/>
            <w:gridSpan w:val="2"/>
          </w:tcPr>
          <w:p>
            <w:pPr>
              <w:ind w:left="380"/>
              <w:spacing w:after="0"/>
              <w:rPr>
                <w:sz w:val="20"/>
                <w:szCs w:val="20"/>
                <w:color w:val="auto"/>
              </w:rPr>
            </w:pPr>
            <w:r>
              <w:rPr>
                <w:rFonts w:ascii="Arial" w:cs="Arial" w:eastAsia="Arial" w:hAnsi="Arial"/>
                <w:sz w:val="18"/>
                <w:szCs w:val="18"/>
                <w:b w:val="1"/>
                <w:bCs w:val="1"/>
                <w:color w:val="auto"/>
              </w:rPr>
              <w:t>Development projects in progress</w:t>
            </w:r>
          </w:p>
        </w:tc>
        <w:tc>
          <w:tcPr>
            <w:tcW w:w="1620" w:type="dxa"/>
            <w:vAlign w:val="bottom"/>
            <w:gridSpan w:val="3"/>
          </w:tcPr>
          <w:p>
            <w:pPr>
              <w:ind w:left="12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b w:val="1"/>
                <w:bCs w:val="1"/>
                <w:color w:val="auto"/>
              </w:rPr>
              <w:t>20,857</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b w:val="1"/>
                <w:bCs w:val="1"/>
                <w:color w:val="auto"/>
              </w:rPr>
              <w:t>20,857</w:t>
            </w:r>
          </w:p>
        </w:tc>
      </w:tr>
      <w:tr>
        <w:trPr>
          <w:trHeight w:val="27"/>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Land held for sale</w:t>
            </w:r>
          </w:p>
        </w:tc>
        <w:tc>
          <w:tcPr>
            <w:tcW w:w="108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1,780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1,780</w:t>
            </w:r>
          </w:p>
        </w:tc>
      </w:tr>
      <w:tr>
        <w:trPr>
          <w:trHeight w:val="27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Nine Months Ended June 30, 2011</w:t>
            </w:r>
          </w:p>
        </w:tc>
        <w:tc>
          <w:tcPr>
            <w:tcW w:w="10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r>
      <w:tr>
        <w:trPr>
          <w:trHeight w:val="243"/>
        </w:trPr>
        <w:tc>
          <w:tcPr>
            <w:tcW w:w="6240" w:type="dxa"/>
            <w:vAlign w:val="bottom"/>
            <w:gridSpan w:val="2"/>
          </w:tcPr>
          <w:p>
            <w:pPr>
              <w:ind w:left="380"/>
              <w:spacing w:after="0"/>
              <w:rPr>
                <w:sz w:val="20"/>
                <w:szCs w:val="20"/>
                <w:color w:val="auto"/>
              </w:rPr>
            </w:pPr>
            <w:r>
              <w:rPr>
                <w:rFonts w:ascii="Arial" w:cs="Arial" w:eastAsia="Arial" w:hAnsi="Arial"/>
                <w:sz w:val="18"/>
                <w:szCs w:val="18"/>
                <w:color w:val="auto"/>
              </w:rPr>
              <w:t>Development projects in progress</w:t>
            </w:r>
          </w:p>
        </w:tc>
        <w:tc>
          <w:tcPr>
            <w:tcW w:w="16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39,373</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39,373</w:t>
            </w:r>
          </w:p>
        </w:tc>
      </w:tr>
      <w:tr>
        <w:trPr>
          <w:trHeight w:val="270"/>
        </w:trPr>
        <w:tc>
          <w:tcPr>
            <w:tcW w:w="6240" w:type="dxa"/>
            <w:vAlign w:val="bottom"/>
            <w:gridSpan w:val="2"/>
          </w:tcPr>
          <w:p>
            <w:pPr>
              <w:ind w:left="380"/>
              <w:spacing w:after="0"/>
              <w:rPr>
                <w:sz w:val="20"/>
                <w:szCs w:val="20"/>
                <w:color w:val="auto"/>
              </w:rPr>
            </w:pPr>
            <w:r>
              <w:rPr>
                <w:rFonts w:ascii="Arial" w:cs="Arial" w:eastAsia="Arial" w:hAnsi="Arial"/>
                <w:sz w:val="18"/>
                <w:szCs w:val="18"/>
                <w:color w:val="auto"/>
              </w:rPr>
              <w:t>Right to purchase land</w:t>
            </w:r>
          </w:p>
        </w:tc>
        <w:tc>
          <w:tcPr>
            <w:tcW w:w="16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13,184</w:t>
            </w:r>
          </w:p>
        </w:tc>
        <w:tc>
          <w:tcPr>
            <w:tcW w:w="100" w:type="dxa"/>
            <w:vAlign w:val="bottom"/>
          </w:tcPr>
          <w:p>
            <w:pPr>
              <w:spacing w:after="0"/>
              <w:rPr>
                <w:sz w:val="23"/>
                <w:szCs w:val="23"/>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13,184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previously disclosed, we review our long-lived assets, including inventory for recoverability when factors that indicate an impairment may exist, but no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less than quarterly. Fair value is based on estimated cash flows discounted for market risks associated with the long-lived assets. The fair values of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investments in unconsolidated entities are determined primarily using a discounted cash flow model to value the underlying net assets of the respective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entities. During the nine months ended June 30, 2012, including discontinued operations, we recorded impairments for development projects in process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$8.9 million, land held for sale impairments of $0.7 million, and impairments of unconsolidated entity investments of $36,000. During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June 30, 2011, including discontinued operations, we recorded impairments for development projects in process of $24.5 million, land held for sale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impairments of $0.2 million, and impairments of unconsolidated entity investments of $0.6 million. See Notes 1, 3 and 4 for additional information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accounting for the assets listed above. Determining which hierarchical level an asset or liability falls within requires significant judgment.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evaluate our hierarchy disclosures each quarter.</w:t>
      </w:r>
    </w:p>
    <w:p>
      <w:pPr>
        <w:spacing w:after="0" w:line="15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fair value of our cash and cash equivalents, restricted cash, accounts receivable, trade accounts payable, other liabilities, cash secured loan and other secured notes payable approximate their carrying amounts due to the short maturity of these assets and liabilities.</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Obligations related to land not owned under option agreements approximate fair value. The carrying values and estimated fair values of other financial assets and liabilities were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As of June 30, 2012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color w:val="auto"/>
              </w:rPr>
              <w:t>As of September 30, 2011</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3"/>
                <w:szCs w:val="13"/>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color w:val="auto"/>
              </w:rPr>
              <w:t>Carrying</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color w:val="auto"/>
              </w:rPr>
              <w:t>Amount</w:t>
            </w:r>
          </w:p>
        </w:tc>
        <w:tc>
          <w:tcPr>
            <w:tcW w:w="280" w:type="dxa"/>
            <w:vAlign w:val="bottom"/>
          </w:tcPr>
          <w:p>
            <w:pPr>
              <w:spacing w:after="0"/>
              <w:rPr>
                <w:sz w:val="16"/>
                <w:szCs w:val="16"/>
                <w:color w:val="auto"/>
              </w:rPr>
            </w:pPr>
          </w:p>
        </w:tc>
        <w:tc>
          <w:tcPr>
            <w:tcW w:w="1200" w:type="dxa"/>
            <w:vAlign w:val="bottom"/>
          </w:tcPr>
          <w:p>
            <w:pPr>
              <w:jc w:val="right"/>
              <w:ind w:right="354"/>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1,125,377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1,070,619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1,132,152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856,634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Mandatory Convertible Subordinated Notes</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b w:val="1"/>
                <w:bCs w:val="1"/>
                <w:color w:val="auto"/>
              </w:rPr>
              <w:t>9,402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b w:val="1"/>
                <w:bCs w:val="1"/>
                <w:color w:val="auto"/>
              </w:rPr>
              <w:t>6,548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57,500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22,747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Junior Subordinated Notes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51,087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51,087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49,537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49,537</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1,185,866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1,128,254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1,239,189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928,918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estimated fair values shown above for our publicly held Senior Notes and Mandatory Convertible Subordinated Notes have been determined using quoted market rates (Level 2). Since there is no trading market for our junior subordinated notes, the fair value of these notes is estimated by discounting scheduled cash flows through maturity (Level 3). The discount rate is estimated using market rates currently being offered on loans with similar terms and credit quality. Judgment is required in interpreting market data to develop these estimates of fair value. Accordingly, the estimates presented herein are not necessarily indicative of the amounts that we could realize in a current market exchange.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three months ended June 30, 2012, our total stock-based compensation, included in general and administrative expenses (G&amp;A), was approximately $0.7 million ($0.5 million net of tax). The fair value of each option/stock-based stock appreciation right (SSAR) grant is estimated on the date of grant using the Black-Scholes option-pricing model. The fair value of each performance-based, nonvested stock grant is estimated on the date of grant using the Monte Carlo valuation method. The cash-settled component of any awards granted to employees are accounted for as a liability award and the liability is adjusted to fair value each reporting period until vested. Non-performance based, nonvested stock is valued based on the market price of the common stock on the date of the grant.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During the nine months ended June 30, 2012 and 2011, employees surrendered 12,553 and 39,861 shares, respectively, to us in payment of minimum tax obligations upon the vesting of stock awards under our stock incentive plans. We valued the stock at the market price on the date of surrender, for an aggregate value of approximately $34,000 and $163,145 for the nine months ended June 30, 2012 and 2011, respectively.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20" w:type="dxa"/>
            <w:vAlign w:val="bottom"/>
          </w:tcPr>
          <w:p>
            <w:pPr>
              <w:spacing w:after="0"/>
              <w:rPr>
                <w:sz w:val="20"/>
                <w:szCs w:val="20"/>
                <w:color w:val="auto"/>
              </w:rPr>
            </w:pPr>
            <w:r>
              <w:rPr>
                <w:rFonts w:ascii="Arial" w:cs="Arial" w:eastAsia="Arial" w:hAnsi="Arial"/>
                <w:sz w:val="18"/>
                <w:szCs w:val="18"/>
                <w:b w:val="1"/>
                <w:bCs w:val="1"/>
                <w:color w:val="auto"/>
                <w:w w:val="91"/>
              </w:rPr>
              <w:t xml:space="preserve">Stock Options: </w:t>
            </w:r>
            <w:r>
              <w:rPr>
                <w:rFonts w:ascii="Arial" w:cs="Arial" w:eastAsia="Arial" w:hAnsi="Arial"/>
                <w:sz w:val="18"/>
                <w:szCs w:val="18"/>
                <w:color w:val="auto"/>
                <w:w w:val="91"/>
              </w:rPr>
              <w:t>We used the following assumptions for our options granted during the nine months ended June 30, 2012:</w:t>
            </w:r>
          </w:p>
        </w:tc>
        <w:tc>
          <w:tcPr>
            <w:tcW w:w="5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135"/>
        </w:trPr>
        <w:tc>
          <w:tcPr>
            <w:tcW w:w="8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of options</w:t>
            </w: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 years</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44.77%</w:t>
            </w:r>
          </w:p>
        </w:tc>
      </w:tr>
      <w:tr>
        <w:trPr>
          <w:trHeight w:val="27"/>
        </w:trPr>
        <w:tc>
          <w:tcPr>
            <w:tcW w:w="8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discrete dividends</w:t>
            </w: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Weighted average risk-free interest rate</w:t>
            </w: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0.90%</w:t>
            </w:r>
          </w:p>
        </w:tc>
      </w:tr>
      <w:tr>
        <w:trPr>
          <w:trHeight w:val="27"/>
        </w:trPr>
        <w:tc>
          <w:tcPr>
            <w:tcW w:w="8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8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fair value</w:t>
            </w:r>
          </w:p>
        </w:tc>
        <w:tc>
          <w:tcPr>
            <w:tcW w:w="5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0.86</w:t>
            </w:r>
          </w:p>
        </w:tc>
      </w:tr>
      <w:tr>
        <w:trPr>
          <w:trHeight w:val="27"/>
        </w:trPr>
        <w:tc>
          <w:tcPr>
            <w:tcW w:w="89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expected volatility is based on the historic returns of our stock and the implied volatility of our publicly-traded options. We assumed no dividends would be paid since our Board of Directors has suspended payment of dividends indefinitely and payment of dividends is restricted under our Senior Note covenants. The risk-free interest rate is based on the term structure of interest rates at the time of the option grant and we have relied upon a combination of the observed exercise behavior of our prior grants with similar characteristics, the vesting schedule of the current grants, and an index of peer companies with similar grant characteristics to determine the expected life of the options.</w:t>
      </w:r>
    </w:p>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intrinsic value of a stock option/SSAR is the amount by which the market value of the underlying stock exceeds the exercise price of the option/SSAR. At June 30, 2012, our SSAR/stock options outstanding had an intrinsic value of $0.6 million. The intrinsic value of SSARs/stock options vested and expected to vest in the future was $0.6 million. The SSARS/stock options vested and expected to vest in the future had a weighted average expected life of 2.9 years. There was no aggregate intrinsic value of exercisable SSARs/stock options as of June 30, 2012.</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stock options and SSARs outstanding as of June 30, 2012, as well as activity during the three and nine months then ended:</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296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540" w:type="dxa"/>
            <w:vAlign w:val="bottom"/>
            <w:gridSpan w:val="4"/>
          </w:tcPr>
          <w:p>
            <w:pPr>
              <w:jc w:val="right"/>
              <w:ind w:right="55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5520" w:type="dxa"/>
            <w:vAlign w:val="bottom"/>
          </w:tcPr>
          <w:p>
            <w:pPr>
              <w:spacing w:after="0"/>
              <w:rPr>
                <w:sz w:val="24"/>
                <w:szCs w:val="24"/>
                <w:color w:val="auto"/>
              </w:rPr>
            </w:pPr>
          </w:p>
        </w:tc>
        <w:tc>
          <w:tcPr>
            <w:tcW w:w="254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4"/>
                <w:szCs w:val="14"/>
                <w:b w:val="1"/>
                <w:bCs w:val="1"/>
                <w:color w:val="auto"/>
              </w:rPr>
              <w:t>June 30, 2012</w:t>
            </w:r>
          </w:p>
        </w:tc>
        <w:tc>
          <w:tcPr>
            <w:tcW w:w="420" w:type="dxa"/>
            <w:vAlign w:val="bottom"/>
          </w:tcPr>
          <w:p>
            <w:pPr>
              <w:spacing w:after="0"/>
              <w:rPr>
                <w:sz w:val="24"/>
                <w:szCs w:val="24"/>
                <w:color w:val="auto"/>
              </w:rPr>
            </w:pPr>
          </w:p>
        </w:tc>
        <w:tc>
          <w:tcPr>
            <w:tcW w:w="254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4"/>
                <w:szCs w:val="14"/>
                <w:b w:val="1"/>
                <w:bCs w:val="1"/>
                <w:color w:val="auto"/>
              </w:rPr>
              <w:t>June 30, 2012</w:t>
            </w:r>
          </w:p>
        </w:tc>
        <w:tc>
          <w:tcPr>
            <w:tcW w:w="0" w:type="dxa"/>
            <w:vAlign w:val="bottom"/>
          </w:tcPr>
          <w:p>
            <w:pPr>
              <w:spacing w:after="0"/>
              <w:rPr>
                <w:sz w:val="1"/>
                <w:szCs w:val="1"/>
                <w:color w:val="auto"/>
              </w:rPr>
            </w:pPr>
          </w:p>
        </w:tc>
      </w:tr>
      <w:tr>
        <w:trPr>
          <w:trHeight w:val="156"/>
        </w:trPr>
        <w:tc>
          <w:tcPr>
            <w:tcW w:w="5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640"/>
              <w:spacing w:after="0" w:line="157" w:lineRule="exact"/>
              <w:rPr>
                <w:sz w:val="20"/>
                <w:szCs w:val="20"/>
                <w:color w:val="auto"/>
              </w:rPr>
            </w:pPr>
            <w:r>
              <w:rPr>
                <w:rFonts w:ascii="Arial" w:cs="Arial" w:eastAsia="Arial" w:hAnsi="Arial"/>
                <w:sz w:val="14"/>
                <w:szCs w:val="14"/>
                <w:color w:val="auto"/>
                <w:w w:val="90"/>
              </w:rPr>
              <w:t>Weighted-</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ind w:right="157"/>
              <w:spacing w:after="0" w:line="157" w:lineRule="exact"/>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8"/>
              </w:rPr>
              <w:t>Average</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57"/>
              <w:spacing w:after="0" w:line="149"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3"/>
              </w:rPr>
              <w:t>Exercise</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37"/>
              <w:spacing w:after="0" w:line="149" w:lineRule="exact"/>
              <w:rPr>
                <w:sz w:val="20"/>
                <w:szCs w:val="20"/>
                <w:color w:val="auto"/>
              </w:rPr>
            </w:pPr>
            <w:r>
              <w:rPr>
                <w:rFonts w:ascii="Arial" w:cs="Arial" w:eastAsia="Arial" w:hAnsi="Arial"/>
                <w:sz w:val="14"/>
                <w:szCs w:val="14"/>
                <w:color w:val="auto"/>
                <w:w w:val="93"/>
              </w:rPr>
              <w:t>Exercise</w:t>
            </w:r>
          </w:p>
        </w:tc>
        <w:tc>
          <w:tcPr>
            <w:tcW w:w="0" w:type="dxa"/>
            <w:vAlign w:val="bottom"/>
          </w:tcPr>
          <w:p>
            <w:pPr>
              <w:spacing w:after="0"/>
              <w:rPr>
                <w:sz w:val="1"/>
                <w:szCs w:val="1"/>
                <w:color w:val="auto"/>
              </w:rPr>
            </w:pPr>
          </w:p>
        </w:tc>
      </w:tr>
      <w:tr>
        <w:trPr>
          <w:trHeight w:val="188"/>
        </w:trPr>
        <w:tc>
          <w:tcPr>
            <w:tcW w:w="5520" w:type="dxa"/>
            <w:vAlign w:val="bottom"/>
          </w:tcPr>
          <w:p>
            <w:pPr>
              <w:spacing w:after="0"/>
              <w:rPr>
                <w:sz w:val="16"/>
                <w:szCs w:val="16"/>
                <w:color w:val="auto"/>
              </w:rPr>
            </w:pPr>
          </w:p>
        </w:tc>
        <w:tc>
          <w:tcPr>
            <w:tcW w:w="1320" w:type="dxa"/>
            <w:vAlign w:val="bottom"/>
            <w:gridSpan w:val="2"/>
          </w:tcPr>
          <w:p>
            <w:pPr>
              <w:ind w:left="420"/>
              <w:spacing w:after="0"/>
              <w:rPr>
                <w:sz w:val="20"/>
                <w:szCs w:val="20"/>
                <w:color w:val="auto"/>
              </w:rPr>
            </w:pPr>
            <w:r>
              <w:rPr>
                <w:rFonts w:ascii="Arial" w:cs="Arial" w:eastAsia="Arial" w:hAnsi="Arial"/>
                <w:sz w:val="14"/>
                <w:szCs w:val="14"/>
                <w:color w:val="auto"/>
              </w:rPr>
              <w:t>Shares</w:t>
            </w:r>
          </w:p>
        </w:tc>
        <w:tc>
          <w:tcPr>
            <w:tcW w:w="220" w:type="dxa"/>
            <w:vAlign w:val="bottom"/>
          </w:tcPr>
          <w:p>
            <w:pPr>
              <w:spacing w:after="0"/>
              <w:rPr>
                <w:sz w:val="16"/>
                <w:szCs w:val="16"/>
                <w:color w:val="auto"/>
              </w:rPr>
            </w:pP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color w:val="auto"/>
                <w:w w:val="93"/>
              </w:rPr>
              <w:t>Price</w:t>
            </w:r>
          </w:p>
        </w:tc>
        <w:tc>
          <w:tcPr>
            <w:tcW w:w="1320" w:type="dxa"/>
            <w:vAlign w:val="bottom"/>
            <w:gridSpan w:val="2"/>
          </w:tcPr>
          <w:p>
            <w:pPr>
              <w:ind w:left="420"/>
              <w:spacing w:after="0"/>
              <w:rPr>
                <w:sz w:val="20"/>
                <w:szCs w:val="20"/>
                <w:color w:val="auto"/>
              </w:rPr>
            </w:pPr>
            <w:r>
              <w:rPr>
                <w:rFonts w:ascii="Arial" w:cs="Arial" w:eastAsia="Arial" w:hAnsi="Arial"/>
                <w:sz w:val="14"/>
                <w:szCs w:val="14"/>
                <w:color w:val="auto"/>
              </w:rPr>
              <w:t>Shares</w:t>
            </w:r>
          </w:p>
        </w:tc>
        <w:tc>
          <w:tcPr>
            <w:tcW w:w="220" w:type="dxa"/>
            <w:vAlign w:val="bottom"/>
          </w:tcPr>
          <w:p>
            <w:pPr>
              <w:spacing w:after="0"/>
              <w:rPr>
                <w:sz w:val="16"/>
                <w:szCs w:val="16"/>
                <w:color w:val="auto"/>
              </w:rPr>
            </w:pPr>
          </w:p>
        </w:tc>
        <w:tc>
          <w:tcPr>
            <w:tcW w:w="1000" w:type="dxa"/>
            <w:vAlign w:val="bottom"/>
          </w:tcPr>
          <w:p>
            <w:pPr>
              <w:jc w:val="center"/>
              <w:ind w:right="137"/>
              <w:spacing w:after="0"/>
              <w:rPr>
                <w:sz w:val="20"/>
                <w:szCs w:val="20"/>
                <w:color w:val="auto"/>
              </w:rPr>
            </w:pPr>
            <w:r>
              <w:rPr>
                <w:rFonts w:ascii="Arial" w:cs="Arial" w:eastAsia="Arial" w:hAnsi="Arial"/>
                <w:sz w:val="14"/>
                <w:szCs w:val="14"/>
                <w:color w:val="auto"/>
                <w:w w:val="93"/>
              </w:rPr>
              <w:t>Price</w:t>
            </w:r>
          </w:p>
        </w:tc>
        <w:tc>
          <w:tcPr>
            <w:tcW w:w="0" w:type="dxa"/>
            <w:vAlign w:val="bottom"/>
          </w:tcPr>
          <w:p>
            <w:pPr>
              <w:spacing w:after="0"/>
              <w:rPr>
                <w:sz w:val="1"/>
                <w:szCs w:val="1"/>
                <w:color w:val="auto"/>
              </w:rPr>
            </w:pPr>
          </w:p>
        </w:tc>
      </w:tr>
      <w:tr>
        <w:trPr>
          <w:trHeight w:val="250"/>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period</w:t>
            </w:r>
          </w:p>
        </w:tc>
        <w:tc>
          <w:tcPr>
            <w:tcW w:w="12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2,281,684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7.96</w:t>
            </w: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1,876,238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547,536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4.87</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220" w:type="dxa"/>
            <w:vAlign w:val="bottom"/>
          </w:tcPr>
          <w:p>
            <w:pPr>
              <w:jc w:val="right"/>
              <w:spacing w:after="0"/>
              <w:rPr>
                <w:sz w:val="20"/>
                <w:szCs w:val="20"/>
                <w:color w:val="auto"/>
              </w:rPr>
            </w:pPr>
            <w:r>
              <w:rPr>
                <w:rFonts w:ascii="Arial" w:cs="Arial" w:eastAsia="Arial" w:hAnsi="Arial"/>
                <w:sz w:val="18"/>
                <w:szCs w:val="18"/>
                <w:color w:val="auto"/>
              </w:rPr>
              <w:t>(84,637)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4.65</w:t>
            </w:r>
          </w:p>
        </w:tc>
        <w:tc>
          <w:tcPr>
            <w:tcW w:w="4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(179,424)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period</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2,189,610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8.10</w:t>
            </w:r>
          </w:p>
        </w:tc>
        <w:tc>
          <w:tcPr>
            <w:tcW w:w="4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2,189,610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end of period</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20" w:type="dxa"/>
            <w:vAlign w:val="bottom"/>
            <w:vMerge w:val="continue"/>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1,081,992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12.85</w:t>
            </w:r>
          </w:p>
        </w:tc>
        <w:tc>
          <w:tcPr>
            <w:tcW w:w="42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1,081,992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67"/>
        </w:trPr>
        <w:tc>
          <w:tcPr>
            <w:tcW w:w="5520" w:type="dxa"/>
            <w:vAlign w:val="bottom"/>
            <w:tcBorders>
              <w:bottom w:val="single" w:sz="8" w:color="CCEEFF"/>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Vested or expected to vest in the future</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2,177,069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8.12</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2,177,069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Nonvested Stock Awards: </w:t>
      </w:r>
      <w:r>
        <w:rPr>
          <w:rFonts w:ascii="Arial" w:cs="Arial" w:eastAsia="Arial" w:hAnsi="Arial"/>
          <w:sz w:val="18"/>
          <w:szCs w:val="18"/>
          <w:color w:val="auto"/>
        </w:rPr>
        <w:t>Compensation cost arising from nonvested stock awards granted to employees is recognized as an expense using the straight-line</w:t>
      </w:r>
      <w:r>
        <w:rPr>
          <w:rFonts w:ascii="Arial" w:cs="Arial" w:eastAsia="Arial" w:hAnsi="Arial"/>
          <w:sz w:val="18"/>
          <w:szCs w:val="18"/>
          <w:b w:val="1"/>
          <w:bCs w:val="1"/>
          <w:color w:val="auto"/>
        </w:rPr>
        <w:t xml:space="preserve"> </w:t>
      </w:r>
      <w:r>
        <w:rPr>
          <w:rFonts w:ascii="Arial" w:cs="Arial" w:eastAsia="Arial" w:hAnsi="Arial"/>
          <w:sz w:val="18"/>
          <w:szCs w:val="18"/>
          <w:color w:val="auto"/>
        </w:rPr>
        <w:t>method over the vesting period. As of June 30, 2012 and September 30, 2011, there was $2.8 million and $4.0 million, respectively, of total unrecognized compensation cost related to nonvested stock awards included in paid-in capital. The cost remaining at June 30, 2012 is expected to be recognized over a weighted average period of 1.5 years.</w:t>
      </w:r>
    </w:p>
    <w:p>
      <w:pPr>
        <w:spacing w:after="0" w:line="13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During the nine months ended June 30, 2012, we issued 547,536 shares of performance-based restricted stock (Performance Shares) to our executive officers and certain corporate employees. Each Performance Share represents a contingent right to receive one share of the Company’s common stock if vesting is satisfied at the end of the three-year performance period. The number of shares that will vest at the end of the three-year performance period will depend upon the level to which the following two performance criteria are achieved 1) Beazer’s total shareholder return (TSR) relative to a group of peer companies and 2) the compound annual growth rate (CAGR) during the three-year performance period of Beazer common stock. The target number of Performance Shares that vest may be increased by up to 50% based on the level of achievement of the above criteria as defined in the award agreement. Payment for Performance Shares in excess of the target number</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(547,536) will be settled in cash. Any portion of the Performance Shares that do not vest at the end of the period will be forfeited. The grants of the performance-based, nonvested stock were valued using the Monte Carlo valuation method and had an estimated fair value of $1.13 per share, a portion of which is attributable to the potential cash-settled liability aspect of the grant which is included in Other Liabilities.</w:t>
      </w:r>
    </w:p>
    <w:p>
      <w:pPr>
        <w:spacing w:after="0" w:line="11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 Monte Carlo simulation model requires the following inputs: 1) expected dividend yield on the underlying stock, 2) expected price volatility of the underlying stock, 3) risk-free interest rate for the period corresponding with the expected term of the award and 4) fair value of the underlying stock. For the Company and each member of the peer group, the following inputs were used, as applicable, in the Monte Carlo simulation model to determine the fair value as of the grant date for the Performance Shares: 0% dividend yield for the Company, expected price volatility ranging from 36.0% to 61.1% and a risk-free interest rate of 0.43%. The methodology used to determine these assumptions is similar to that for the Black-Scholes Model used for stock option grants discussed above; however the expected term is determined by the model in the Monte Carlo simulation.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Activity relating to nonvested stock awards, including the Performance Shares for the three and nine months ended June 30, 2012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96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2280" w:type="dxa"/>
            <w:vAlign w:val="bottom"/>
            <w:gridSpan w:val="4"/>
          </w:tcPr>
          <w:p>
            <w:pPr>
              <w:jc w:val="right"/>
              <w:ind w:right="419"/>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700" w:type="dxa"/>
            <w:vAlign w:val="bottom"/>
          </w:tcPr>
          <w:p>
            <w:pPr>
              <w:spacing w:after="0"/>
              <w:rPr>
                <w:sz w:val="24"/>
                <w:szCs w:val="24"/>
                <w:color w:val="auto"/>
              </w:rPr>
            </w:pPr>
          </w:p>
        </w:tc>
        <w:tc>
          <w:tcPr>
            <w:tcW w:w="232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June 30, 2012</w:t>
            </w:r>
          </w:p>
        </w:tc>
        <w:tc>
          <w:tcPr>
            <w:tcW w:w="640" w:type="dxa"/>
            <w:vAlign w:val="bottom"/>
          </w:tcPr>
          <w:p>
            <w:pPr>
              <w:spacing w:after="0"/>
              <w:rPr>
                <w:sz w:val="24"/>
                <w:szCs w:val="24"/>
                <w:color w:val="auto"/>
              </w:rPr>
            </w:pPr>
          </w:p>
        </w:tc>
        <w:tc>
          <w:tcPr>
            <w:tcW w:w="228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b w:val="1"/>
                <w:bCs w:val="1"/>
                <w:color w:val="auto"/>
              </w:rPr>
              <w:t>June 30, 2012</w:t>
            </w:r>
          </w:p>
        </w:tc>
      </w:tr>
      <w:tr>
        <w:trPr>
          <w:trHeight w:val="156"/>
        </w:trPr>
        <w:tc>
          <w:tcPr>
            <w:tcW w:w="57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jc w:val="center"/>
              <w:ind w:right="840"/>
              <w:spacing w:after="0" w:line="157" w:lineRule="exact"/>
              <w:rPr>
                <w:sz w:val="20"/>
                <w:szCs w:val="20"/>
                <w:color w:val="auto"/>
              </w:rPr>
            </w:pPr>
            <w:r>
              <w:rPr>
                <w:rFonts w:ascii="Arial" w:cs="Arial" w:eastAsia="Arial" w:hAnsi="Arial"/>
                <w:sz w:val="14"/>
                <w:szCs w:val="14"/>
                <w:color w:val="auto"/>
                <w:w w:val="91"/>
              </w:rPr>
              <w:t>Weighted</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center"/>
              <w:ind w:right="99"/>
              <w:spacing w:after="0" w:line="157" w:lineRule="exact"/>
              <w:rPr>
                <w:sz w:val="20"/>
                <w:szCs w:val="20"/>
                <w:color w:val="auto"/>
              </w:rPr>
            </w:pPr>
            <w:r>
              <w:rPr>
                <w:rFonts w:ascii="Arial" w:cs="Arial" w:eastAsia="Arial" w:hAnsi="Arial"/>
                <w:sz w:val="14"/>
                <w:szCs w:val="14"/>
                <w:color w:val="auto"/>
                <w:w w:val="94"/>
              </w:rPr>
              <w:t>Weighted</w:t>
            </w:r>
          </w:p>
        </w:tc>
      </w:tr>
      <w:tr>
        <w:trPr>
          <w:trHeight w:val="149"/>
        </w:trPr>
        <w:tc>
          <w:tcPr>
            <w:tcW w:w="5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center"/>
              <w:ind w:right="840"/>
              <w:spacing w:after="0" w:line="149" w:lineRule="exact"/>
              <w:rPr>
                <w:sz w:val="20"/>
                <w:szCs w:val="20"/>
                <w:color w:val="auto"/>
              </w:rPr>
            </w:pPr>
            <w:r>
              <w:rPr>
                <w:rFonts w:ascii="Arial" w:cs="Arial" w:eastAsia="Arial" w:hAnsi="Arial"/>
                <w:sz w:val="14"/>
                <w:szCs w:val="14"/>
                <w:color w:val="auto"/>
                <w:w w:val="88"/>
              </w:rPr>
              <w:t>Average</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99"/>
              <w:spacing w:after="0" w:line="149" w:lineRule="exact"/>
              <w:rPr>
                <w:sz w:val="20"/>
                <w:szCs w:val="20"/>
                <w:color w:val="auto"/>
              </w:rPr>
            </w:pPr>
            <w:r>
              <w:rPr>
                <w:rFonts w:ascii="Arial" w:cs="Arial" w:eastAsia="Arial" w:hAnsi="Arial"/>
                <w:sz w:val="14"/>
                <w:szCs w:val="14"/>
                <w:color w:val="auto"/>
                <w:w w:val="91"/>
              </w:rPr>
              <w:t>Average</w:t>
            </w:r>
          </w:p>
        </w:tc>
      </w:tr>
      <w:tr>
        <w:trPr>
          <w:trHeight w:val="149"/>
        </w:trPr>
        <w:tc>
          <w:tcPr>
            <w:tcW w:w="5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center"/>
              <w:ind w:right="840"/>
              <w:spacing w:after="0" w:line="149" w:lineRule="exact"/>
              <w:rPr>
                <w:sz w:val="20"/>
                <w:szCs w:val="20"/>
                <w:color w:val="auto"/>
              </w:rPr>
            </w:pPr>
            <w:r>
              <w:rPr>
                <w:rFonts w:ascii="Arial" w:cs="Arial" w:eastAsia="Arial" w:hAnsi="Arial"/>
                <w:sz w:val="14"/>
                <w:szCs w:val="14"/>
                <w:color w:val="auto"/>
                <w:w w:val="96"/>
              </w:rPr>
              <w:t>Grant</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99"/>
              <w:spacing w:after="0" w:line="149" w:lineRule="exact"/>
              <w:rPr>
                <w:sz w:val="20"/>
                <w:szCs w:val="20"/>
                <w:color w:val="auto"/>
              </w:rPr>
            </w:pPr>
            <w:r>
              <w:rPr>
                <w:rFonts w:ascii="Arial" w:cs="Arial" w:eastAsia="Arial" w:hAnsi="Arial"/>
                <w:sz w:val="14"/>
                <w:szCs w:val="14"/>
                <w:color w:val="auto"/>
                <w:w w:val="91"/>
              </w:rPr>
              <w:t>Grant</w:t>
            </w:r>
          </w:p>
        </w:tc>
      </w:tr>
      <w:tr>
        <w:trPr>
          <w:trHeight w:val="149"/>
        </w:trPr>
        <w:tc>
          <w:tcPr>
            <w:tcW w:w="5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center"/>
              <w:ind w:right="840"/>
              <w:spacing w:after="0" w:line="149" w:lineRule="exact"/>
              <w:rPr>
                <w:sz w:val="20"/>
                <w:szCs w:val="20"/>
                <w:color w:val="auto"/>
              </w:rPr>
            </w:pPr>
            <w:r>
              <w:rPr>
                <w:rFonts w:ascii="Arial" w:cs="Arial" w:eastAsia="Arial" w:hAnsi="Arial"/>
                <w:sz w:val="14"/>
                <w:szCs w:val="14"/>
                <w:color w:val="auto"/>
                <w:w w:val="93"/>
              </w:rPr>
              <w:t>Date Fair</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79"/>
              <w:spacing w:after="0" w:line="149" w:lineRule="exact"/>
              <w:rPr>
                <w:sz w:val="20"/>
                <w:szCs w:val="20"/>
                <w:color w:val="auto"/>
              </w:rPr>
            </w:pPr>
            <w:r>
              <w:rPr>
                <w:rFonts w:ascii="Arial" w:cs="Arial" w:eastAsia="Arial" w:hAnsi="Arial"/>
                <w:sz w:val="14"/>
                <w:szCs w:val="14"/>
                <w:color w:val="auto"/>
                <w:w w:val="93"/>
              </w:rPr>
              <w:t>Date Fair</w:t>
            </w:r>
          </w:p>
        </w:tc>
      </w:tr>
      <w:tr>
        <w:trPr>
          <w:trHeight w:val="188"/>
        </w:trPr>
        <w:tc>
          <w:tcPr>
            <w:tcW w:w="5700" w:type="dxa"/>
            <w:vAlign w:val="bottom"/>
          </w:tcPr>
          <w:p>
            <w:pPr>
              <w:spacing w:after="0"/>
              <w:rPr>
                <w:sz w:val="16"/>
                <w:szCs w:val="16"/>
                <w:color w:val="auto"/>
              </w:rPr>
            </w:pPr>
          </w:p>
        </w:tc>
        <w:tc>
          <w:tcPr>
            <w:tcW w:w="1220" w:type="dxa"/>
            <w:vAlign w:val="bottom"/>
            <w:gridSpan w:val="2"/>
          </w:tcPr>
          <w:p>
            <w:pPr>
              <w:ind w:left="360"/>
              <w:spacing w:after="0"/>
              <w:rPr>
                <w:sz w:val="20"/>
                <w:szCs w:val="20"/>
                <w:color w:val="auto"/>
              </w:rPr>
            </w:pPr>
            <w:r>
              <w:rPr>
                <w:rFonts w:ascii="Arial" w:cs="Arial" w:eastAsia="Arial" w:hAnsi="Arial"/>
                <w:sz w:val="14"/>
                <w:szCs w:val="14"/>
                <w:color w:val="auto"/>
              </w:rPr>
              <w:t>Shares</w:t>
            </w:r>
          </w:p>
        </w:tc>
        <w:tc>
          <w:tcPr>
            <w:tcW w:w="200" w:type="dxa"/>
            <w:vAlign w:val="bottom"/>
          </w:tcPr>
          <w:p>
            <w:pPr>
              <w:spacing w:after="0"/>
              <w:rPr>
                <w:sz w:val="16"/>
                <w:szCs w:val="16"/>
                <w:color w:val="auto"/>
              </w:rPr>
            </w:pPr>
          </w:p>
        </w:tc>
        <w:tc>
          <w:tcPr>
            <w:tcW w:w="1540" w:type="dxa"/>
            <w:vAlign w:val="bottom"/>
            <w:gridSpan w:val="2"/>
          </w:tcPr>
          <w:p>
            <w:pPr>
              <w:jc w:val="center"/>
              <w:ind w:right="840"/>
              <w:spacing w:after="0"/>
              <w:rPr>
                <w:sz w:val="20"/>
                <w:szCs w:val="20"/>
                <w:color w:val="auto"/>
              </w:rPr>
            </w:pPr>
            <w:r>
              <w:rPr>
                <w:rFonts w:ascii="Arial" w:cs="Arial" w:eastAsia="Arial" w:hAnsi="Arial"/>
                <w:sz w:val="14"/>
                <w:szCs w:val="14"/>
                <w:color w:val="auto"/>
                <w:w w:val="94"/>
              </w:rPr>
              <w:t>Value</w:t>
            </w:r>
          </w:p>
        </w:tc>
        <w:tc>
          <w:tcPr>
            <w:tcW w:w="1200" w:type="dxa"/>
            <w:vAlign w:val="bottom"/>
            <w:gridSpan w:val="2"/>
          </w:tcPr>
          <w:p>
            <w:pPr>
              <w:ind w:left="360"/>
              <w:spacing w:after="0"/>
              <w:rPr>
                <w:sz w:val="20"/>
                <w:szCs w:val="20"/>
                <w:color w:val="auto"/>
              </w:rPr>
            </w:pPr>
            <w:r>
              <w:rPr>
                <w:rFonts w:ascii="Arial" w:cs="Arial" w:eastAsia="Arial" w:hAnsi="Arial"/>
                <w:sz w:val="14"/>
                <w:szCs w:val="14"/>
                <w:color w:val="auto"/>
              </w:rPr>
              <w:t>Shares</w:t>
            </w:r>
          </w:p>
        </w:tc>
        <w:tc>
          <w:tcPr>
            <w:tcW w:w="180" w:type="dxa"/>
            <w:vAlign w:val="bottom"/>
          </w:tcPr>
          <w:p>
            <w:pPr>
              <w:spacing w:after="0"/>
              <w:rPr>
                <w:sz w:val="16"/>
                <w:szCs w:val="16"/>
                <w:color w:val="auto"/>
              </w:rPr>
            </w:pPr>
          </w:p>
        </w:tc>
        <w:tc>
          <w:tcPr>
            <w:tcW w:w="900" w:type="dxa"/>
            <w:vAlign w:val="bottom"/>
          </w:tcPr>
          <w:p>
            <w:pPr>
              <w:jc w:val="center"/>
              <w:ind w:right="99"/>
              <w:spacing w:after="0"/>
              <w:rPr>
                <w:sz w:val="20"/>
                <w:szCs w:val="20"/>
                <w:color w:val="auto"/>
              </w:rPr>
            </w:pPr>
            <w:r>
              <w:rPr>
                <w:rFonts w:ascii="Arial" w:cs="Arial" w:eastAsia="Arial" w:hAnsi="Arial"/>
                <w:sz w:val="14"/>
                <w:szCs w:val="14"/>
                <w:color w:val="auto"/>
                <w:w w:val="89"/>
              </w:rPr>
              <w:t>Value</w:t>
            </w:r>
          </w:p>
        </w:tc>
      </w:tr>
      <w:tr>
        <w:trPr>
          <w:trHeight w:val="250"/>
        </w:trPr>
        <w:tc>
          <w:tcPr>
            <w:tcW w:w="5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11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2,158,968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4.45</w:t>
            </w: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1,440,397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6.77</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29,419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3.00</w:t>
            </w:r>
          </w:p>
        </w:tc>
        <w:tc>
          <w:tcPr>
            <w:tcW w:w="64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899,565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1.44</w:t>
            </w:r>
          </w:p>
        </w:tc>
      </w:tr>
      <w:tr>
        <w:trPr>
          <w:trHeight w:val="27"/>
        </w:trPr>
        <w:tc>
          <w:tcPr>
            <w:tcW w:w="5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34.00</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21.23</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120" w:type="dxa"/>
            <w:vAlign w:val="bottom"/>
          </w:tcPr>
          <w:p>
            <w:pPr>
              <w:jc w:val="right"/>
              <w:spacing w:after="0"/>
              <w:rPr>
                <w:sz w:val="20"/>
                <w:szCs w:val="20"/>
                <w:color w:val="auto"/>
              </w:rPr>
            </w:pPr>
            <w:r>
              <w:rPr>
                <w:rFonts w:ascii="Arial" w:cs="Arial" w:eastAsia="Arial" w:hAnsi="Arial"/>
                <w:sz w:val="18"/>
                <w:szCs w:val="18"/>
                <w:color w:val="auto"/>
              </w:rPr>
              <w:t>(109,554)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9.02</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(206,361)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6.86</w:t>
            </w:r>
          </w:p>
        </w:tc>
      </w:tr>
      <w:tr>
        <w:trPr>
          <w:trHeight w:val="27"/>
        </w:trPr>
        <w:tc>
          <w:tcPr>
            <w:tcW w:w="5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2,061,186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3.93</w:t>
            </w:r>
          </w:p>
        </w:tc>
        <w:tc>
          <w:tcPr>
            <w:tcW w:w="6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2,061,186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3.93</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9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have three homebuilding segments operating in 16 states. Beginning in the second quarter of fiscal 2011, through May 2, 2012, we operated our Pre-Owned Homes business in Arizona and Nevada. The results below include operating results of our Pre-Owned segment through May 2, 2012. Effective May 3, 2012, we contributed our Pre-Owned Homes business for an investment in an unconsolidated entity (see Note 13 for additional information). Revenues in our homebuilding segments are derived from the sale of homes which we construct and from land and lot sales. Revenues from our Pre-Owned segment were derived from the rental of previously owned homes purchased and improved by the Company. Our reportable segments have been determined on a basis that is used internally by management for evaluating segment performance and resource allocations. The reportable homebuilding segments and all other homebuilding operations, not required to be reported separately, include operations conducting business in the following states: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t>
      </w:r>
      <w:r>
        <w:rPr>
          <w:rFonts w:ascii="Arial" w:cs="Arial" w:eastAsia="Arial" w:hAnsi="Arial"/>
          <w:sz w:val="18"/>
          <w:szCs w:val="18"/>
          <w:color w:val="auto"/>
        </w:rPr>
        <w:t>: Arizona, California, Nevada and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w:t>
      </w:r>
      <w:r>
        <w:rPr>
          <w:rFonts w:ascii="Arial" w:cs="Arial" w:eastAsia="Arial" w:hAnsi="Arial"/>
          <w:sz w:val="18"/>
          <w:szCs w:val="18"/>
          <w:color w:val="auto"/>
        </w:rPr>
        <w:t>: Delaware, Indiana, Maryland, New Jersey, New York, Pennsylvania, Tennessee (Nashville) and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Southeast</w:t>
      </w:r>
      <w:r>
        <w:rPr>
          <w:rFonts w:ascii="Arial" w:cs="Arial" w:eastAsia="Arial" w:hAnsi="Arial"/>
          <w:sz w:val="18"/>
          <w:szCs w:val="18"/>
          <w:color w:val="auto"/>
        </w:rPr>
        <w:t>: Florida, Georgia, North Carolina (Raleigh) and South Carolina</w:t>
      </w:r>
    </w:p>
    <w:p>
      <w:pPr>
        <w:spacing w:after="0" w:line="15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Management’s evaluation of segment performance is based on segment operating income. Operating income for our homebuilding segments is defined as homebuilding, land sale and other revenues less home construction, land development and land sales expense, commission expense, depreciation and amortization and certain general and administrative expenses which are incurred by or allocated to our homebuilding segments. Operating income for our Pre-Owned segment is defined as rental revenues less home repairs and operating expenses, home sales expense, depreciation and amortization and certain general and administrative expenses which are incurred by or allocated to the segment. The accounting policies of our segments are those described in Note 1 above and Note 1 to our consolidated financial statements in our 2011 Annual Report. The following information is in thousands: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20"/>
          </w:cols>
          <w:pgMar w:left="240" w:top="12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5280" w:type="dxa"/>
            <w:vAlign w:val="bottom"/>
            <w:gridSpan w:val="2"/>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643"/>
        </w:trPr>
        <w:tc>
          <w:tcPr>
            <w:tcW w:w="1020" w:type="dxa"/>
            <w:vAlign w:val="bottom"/>
            <w:tcBorders>
              <w:top w:val="single" w:sz="8" w:color="0000FF"/>
            </w:tcBorders>
          </w:tcPr>
          <w:p>
            <w:pPr>
              <w:spacing w:after="0"/>
              <w:rPr>
                <w:sz w:val="24"/>
                <w:szCs w:val="24"/>
                <w:color w:val="auto"/>
              </w:rPr>
            </w:pP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10"/>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11"/>
          </w:tcPr>
          <w:p>
            <w:pPr>
              <w:ind w:left="34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24"/>
                <w:szCs w:val="24"/>
                <w:color w:val="auto"/>
              </w:rPr>
            </w:pPr>
          </w:p>
        </w:tc>
      </w:tr>
      <w:tr>
        <w:trPr>
          <w:trHeight w:val="276"/>
        </w:trPr>
        <w:tc>
          <w:tcPr>
            <w:tcW w:w="10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64"/>
        </w:trPr>
        <w:tc>
          <w:tcPr>
            <w:tcW w:w="1020" w:type="dxa"/>
            <w:vAlign w:val="bottom"/>
            <w:tcBorders>
              <w:bottom w:val="single" w:sz="8" w:color="CCEEFF"/>
            </w:tcBorders>
          </w:tcPr>
          <w:p>
            <w:pPr>
              <w:spacing w:after="0"/>
              <w:rPr>
                <w:sz w:val="22"/>
                <w:szCs w:val="22"/>
                <w:color w:val="auto"/>
              </w:rPr>
            </w:pPr>
          </w:p>
        </w:tc>
        <w:tc>
          <w:tcPr>
            <w:tcW w:w="42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2011</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West</w:t>
            </w: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99,092</w:t>
            </w:r>
          </w:p>
        </w:tc>
        <w:tc>
          <w:tcPr>
            <w:tcW w:w="36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55,502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247,726</w:t>
            </w:r>
          </w:p>
        </w:tc>
        <w:tc>
          <w:tcPr>
            <w:tcW w:w="480" w:type="dxa"/>
            <w:vAlign w:val="bottom"/>
            <w:gridSpan w:val="5"/>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131,841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East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98,930</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77,895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255,940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186,527</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Southeast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56,328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39,288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129,966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88,985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Pre-Owned</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205</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1,114</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left w:val="single" w:sz="8" w:color="CCEEFF"/>
              <w:bottom w:val="single" w:sz="8" w:color="CCEEFF"/>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Continuing Operations</w:t>
            </w:r>
          </w:p>
        </w:tc>
        <w:tc>
          <w:tcPr>
            <w:tcW w:w="22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254,555</w:t>
            </w:r>
          </w:p>
        </w:tc>
        <w:tc>
          <w:tcPr>
            <w:tcW w:w="120" w:type="dxa"/>
            <w:vAlign w:val="bottom"/>
            <w:gridSpan w:val="3"/>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172,829</w:t>
            </w:r>
          </w:p>
        </w:tc>
        <w:tc>
          <w:tcPr>
            <w:tcW w:w="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634,746</w:t>
            </w:r>
          </w:p>
        </w:tc>
        <w:tc>
          <w:tcPr>
            <w:tcW w:w="80" w:type="dxa"/>
            <w:vAlign w:val="bottom"/>
            <w:tcBorders>
              <w:top w:val="single" w:sz="8" w:color="auto"/>
            </w:tcBorders>
          </w:tcPr>
          <w:p>
            <w:pPr>
              <w:spacing w:after="0"/>
              <w:rPr>
                <w:sz w:val="20"/>
                <w:szCs w:val="20"/>
                <w:color w:val="auto"/>
              </w:rPr>
            </w:pPr>
          </w:p>
        </w:tc>
        <w:tc>
          <w:tcPr>
            <w:tcW w:w="100" w:type="dxa"/>
            <w:vAlign w:val="bottom"/>
            <w:gridSpan w:val="3"/>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407,497</w:t>
            </w:r>
          </w:p>
        </w:tc>
        <w:tc>
          <w:tcPr>
            <w:tcW w:w="1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90"/>
        </w:trPr>
        <w:tc>
          <w:tcPr>
            <w:tcW w:w="10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10"/>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11"/>
          </w:tcPr>
          <w:p>
            <w:pPr>
              <w:jc w:val="center"/>
              <w:ind w:right="320"/>
              <w:spacing w:after="0"/>
              <w:rPr>
                <w:sz w:val="20"/>
                <w:szCs w:val="20"/>
                <w:color w:val="auto"/>
              </w:rPr>
            </w:pPr>
            <w:r>
              <w:rPr>
                <w:rFonts w:ascii="Arial" w:cs="Arial" w:eastAsia="Arial" w:hAnsi="Arial"/>
                <w:sz w:val="14"/>
                <w:szCs w:val="14"/>
                <w:b w:val="1"/>
                <w:bCs w:val="1"/>
                <w:color w:val="auto"/>
                <w:w w:val="93"/>
              </w:rPr>
              <w:t>Nine Months Ended</w:t>
            </w:r>
          </w:p>
        </w:tc>
        <w:tc>
          <w:tcPr>
            <w:tcW w:w="40" w:type="dxa"/>
            <w:vAlign w:val="bottom"/>
          </w:tcPr>
          <w:p>
            <w:pPr>
              <w:spacing w:after="0"/>
              <w:rPr>
                <w:sz w:val="24"/>
                <w:szCs w:val="24"/>
                <w:color w:val="auto"/>
              </w:rPr>
            </w:pPr>
          </w:p>
        </w:tc>
      </w:tr>
      <w:tr>
        <w:trPr>
          <w:trHeight w:val="276"/>
        </w:trPr>
        <w:tc>
          <w:tcPr>
            <w:tcW w:w="10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7"/>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4"/>
        </w:trPr>
        <w:tc>
          <w:tcPr>
            <w:tcW w:w="1020" w:type="dxa"/>
            <w:vAlign w:val="bottom"/>
            <w:tcBorders>
              <w:bottom w:val="single" w:sz="8" w:color="CCEEFF"/>
            </w:tcBorders>
          </w:tcPr>
          <w:p>
            <w:pPr>
              <w:spacing w:after="0"/>
              <w:rPr>
                <w:sz w:val="22"/>
                <w:szCs w:val="22"/>
                <w:color w:val="auto"/>
              </w:rPr>
            </w:pPr>
          </w:p>
        </w:tc>
        <w:tc>
          <w:tcPr>
            <w:tcW w:w="42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2011</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income/(loss)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left w:val="single" w:sz="8" w:color="CCEEFF"/>
            </w:tcBorders>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West</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2,719</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gridSpan w:val="4"/>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(2,542)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5,505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gridSpan w:val="5"/>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(28,567)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East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344</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Borders>
              <w:left w:val="single" w:sz="8" w:color="CCEEFF"/>
            </w:tcBorders>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Southeast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3,339</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(3,381)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5,304</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(4,194)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Pre-Owned</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(229)</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left w:val="single" w:sz="8" w:color="CCEEFF"/>
            </w:tcBorders>
          </w:tcPr>
          <w:p>
            <w:pPr>
              <w:spacing w:after="0"/>
              <w:rPr>
                <w:sz w:val="23"/>
                <w:szCs w:val="23"/>
                <w:color w:val="auto"/>
              </w:rPr>
            </w:pPr>
          </w:p>
        </w:tc>
        <w:tc>
          <w:tcPr>
            <w:tcW w:w="40" w:type="dxa"/>
            <w:vAlign w:val="bottom"/>
          </w:tcPr>
          <w:p>
            <w:pPr>
              <w:spacing w:after="0"/>
              <w:rPr>
                <w:sz w:val="23"/>
                <w:szCs w:val="23"/>
                <w:color w:val="auto"/>
              </w:rPr>
            </w:pP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Segment total</w:t>
            </w: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6,226</w:t>
            </w:r>
          </w:p>
        </w:tc>
        <w:tc>
          <w:tcPr>
            <w:tcW w:w="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(4,093)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10,924</w:t>
            </w:r>
          </w:p>
        </w:tc>
        <w:tc>
          <w:tcPr>
            <w:tcW w:w="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(31,617)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and unallocated (a)</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(27,381)</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(31,146)</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(66,472)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(76,465)</w:t>
            </w:r>
          </w:p>
        </w:tc>
        <w:tc>
          <w:tcPr>
            <w:tcW w:w="100" w:type="dxa"/>
            <w:vAlign w:val="bottom"/>
            <w:tcBorders>
              <w:left w:val="single" w:sz="8" w:color="CCEEFF"/>
            </w:tcBorders>
          </w:tcPr>
          <w:p>
            <w:pPr>
              <w:spacing w:after="0"/>
              <w:rPr>
                <w:sz w:val="23"/>
                <w:szCs w:val="23"/>
                <w:color w:val="auto"/>
              </w:rPr>
            </w:pPr>
          </w:p>
        </w:tc>
        <w:tc>
          <w:tcPr>
            <w:tcW w:w="40" w:type="dxa"/>
            <w:vAlign w:val="bottom"/>
          </w:tcPr>
          <w:p>
            <w:pPr>
              <w:spacing w:after="0"/>
              <w:rPr>
                <w:sz w:val="23"/>
                <w:szCs w:val="23"/>
                <w:color w:val="auto"/>
              </w:rPr>
            </w:pP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Total operating loss</w:t>
            </w: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(21,155)</w:t>
            </w:r>
          </w:p>
        </w:tc>
        <w:tc>
          <w:tcPr>
            <w:tcW w:w="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(35,239)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(55,548)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(108,082)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in income (loss) of unconsolidated entities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left w:val="single" w:sz="8" w:color="CCEEFF"/>
            </w:tcBorders>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Gain (loss) on extinguishment of debt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(2,747)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 net (d)</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(16,804)</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(17,085)</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(53,342)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(46,616)</w:t>
            </w:r>
          </w:p>
        </w:tc>
        <w:tc>
          <w:tcPr>
            <w:tcW w:w="100" w:type="dxa"/>
            <w:vAlign w:val="bottom"/>
            <w:tcBorders>
              <w:left w:val="single" w:sz="8" w:color="CCEEFF"/>
            </w:tcBorders>
          </w:tcPr>
          <w:p>
            <w:pPr>
              <w:spacing w:after="0"/>
              <w:rPr>
                <w:sz w:val="23"/>
                <w:szCs w:val="23"/>
                <w:color w:val="auto"/>
              </w:rPr>
            </w:pPr>
          </w:p>
        </w:tc>
        <w:tc>
          <w:tcPr>
            <w:tcW w:w="40" w:type="dxa"/>
            <w:vAlign w:val="bottom"/>
          </w:tcPr>
          <w:p>
            <w:pPr>
              <w:spacing w:after="0"/>
              <w:rPr>
                <w:sz w:val="23"/>
                <w:szCs w:val="23"/>
                <w:color w:val="auto"/>
              </w:rPr>
            </w:pP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Loss from continuing operations before income taxes</w:t>
            </w:r>
          </w:p>
        </w:tc>
        <w:tc>
          <w:tcPr>
            <w:tcW w:w="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(37,911)</w:t>
            </w:r>
          </w:p>
        </w:tc>
        <w:tc>
          <w:tcPr>
            <w:tcW w:w="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32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(52,166)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w w:val="93"/>
              </w:rPr>
              <w:t>(111,662)</w:t>
            </w:r>
          </w:p>
        </w:tc>
        <w:tc>
          <w:tcPr>
            <w:tcW w:w="40" w:type="dxa"/>
            <w:vAlign w:val="bottom"/>
          </w:tcPr>
          <w:p>
            <w:pPr>
              <w:spacing w:after="0"/>
              <w:rPr>
                <w:sz w:val="20"/>
                <w:szCs w:val="20"/>
                <w:color w:val="auto"/>
              </w:rPr>
            </w:pPr>
          </w:p>
        </w:tc>
        <w:tc>
          <w:tcPr>
            <w:tcW w:w="160" w:type="dxa"/>
            <w:vAlign w:val="bottom"/>
            <w:gridSpan w:val="3"/>
          </w:tcPr>
          <w:p>
            <w:pPr>
              <w:spacing w:after="0"/>
              <w:rPr>
                <w:sz w:val="20"/>
                <w:szCs w:val="20"/>
                <w:color w:val="auto"/>
              </w:rPr>
            </w:pPr>
          </w:p>
        </w:tc>
        <w:tc>
          <w:tcPr>
            <w:tcW w:w="32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(157,235)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90"/>
        </w:trPr>
        <w:tc>
          <w:tcPr>
            <w:tcW w:w="10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10"/>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11"/>
          </w:tcPr>
          <w:p>
            <w:pPr>
              <w:ind w:left="24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24"/>
                <w:szCs w:val="24"/>
                <w:color w:val="auto"/>
              </w:rPr>
            </w:pPr>
          </w:p>
        </w:tc>
      </w:tr>
      <w:tr>
        <w:trPr>
          <w:trHeight w:val="276"/>
        </w:trPr>
        <w:tc>
          <w:tcPr>
            <w:tcW w:w="10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7"/>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8"/>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4"/>
        </w:trPr>
        <w:tc>
          <w:tcPr>
            <w:tcW w:w="1020" w:type="dxa"/>
            <w:vAlign w:val="bottom"/>
            <w:tcBorders>
              <w:bottom w:val="single" w:sz="8" w:color="CCEEFF"/>
            </w:tcBorders>
          </w:tcPr>
          <w:p>
            <w:pPr>
              <w:spacing w:after="0"/>
              <w:rPr>
                <w:sz w:val="22"/>
                <w:szCs w:val="22"/>
                <w:color w:val="auto"/>
              </w:rPr>
            </w:pPr>
          </w:p>
        </w:tc>
        <w:tc>
          <w:tcPr>
            <w:tcW w:w="42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2011</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w w:val="96"/>
              </w:rPr>
              <w:t>2011</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West</w:t>
            </w:r>
          </w:p>
        </w:tc>
        <w:tc>
          <w:tcPr>
            <w:tcW w:w="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b w:val="1"/>
                <w:bCs w:val="1"/>
                <w:color w:val="auto"/>
              </w:rPr>
              <w:t>1,685</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gridSpan w:val="4"/>
          </w:tcPr>
          <w:p>
            <w:pPr>
              <w:jc w:val="center"/>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1,160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b w:val="1"/>
                <w:bCs w:val="1"/>
                <w:color w:val="auto"/>
                <w:w w:val="79"/>
              </w:rPr>
              <w:t>$</w:t>
            </w:r>
          </w:p>
        </w:tc>
        <w:tc>
          <w:tcPr>
            <w:tcW w:w="200" w:type="dxa"/>
            <w:vAlign w:val="bottom"/>
          </w:tcPr>
          <w:p>
            <w:pPr>
              <w:spacing w:after="0"/>
              <w:rPr>
                <w:sz w:val="21"/>
                <w:szCs w:val="21"/>
                <w:color w:val="auto"/>
              </w:rPr>
            </w:pPr>
          </w:p>
        </w:tc>
        <w:tc>
          <w:tcPr>
            <w:tcW w:w="74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3,555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gridSpan w:val="5"/>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2,282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East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728</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2,038</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Southeast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b w:val="1"/>
                <w:bCs w:val="1"/>
                <w:color w:val="auto"/>
              </w:rPr>
              <w:t>486</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1,199</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Pre-Owned</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57</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330</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Segment total</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2,956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b w:val="1"/>
                <w:bCs w:val="1"/>
                <w:color w:val="auto"/>
              </w:rPr>
              <w:t>7,122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6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and unallocated (a)</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787</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2,214</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Continuing Operations</w:t>
            </w:r>
          </w:p>
        </w:tc>
        <w:tc>
          <w:tcPr>
            <w:tcW w:w="2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3,743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tcBorders>
            <w:gridSpan w:val="3"/>
          </w:tcPr>
          <w:p>
            <w:pPr>
              <w:jc w:val="center"/>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79"/>
              </w:rPr>
              <w:t>$</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b w:val="1"/>
                <w:bCs w:val="1"/>
                <w:color w:val="auto"/>
              </w:rPr>
              <w:t>9,336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360" w:type="dxa"/>
            <w:vAlign w:val="bottom"/>
            <w:tcBorders>
              <w:top w:val="single" w:sz="8" w:color="auto"/>
            </w:tcBorders>
            <w:gridSpan w:val="3"/>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gridSpan w:val="4"/>
          </w:tcPr>
          <w:p>
            <w:pPr>
              <w:spacing w:after="0"/>
              <w:rPr>
                <w:sz w:val="2"/>
                <w:szCs w:val="2"/>
                <w:color w:val="auto"/>
              </w:rPr>
            </w:pPr>
          </w:p>
        </w:tc>
        <w:tc>
          <w:tcPr>
            <w:tcW w:w="36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60" w:type="dxa"/>
            <w:vAlign w:val="bottom"/>
            <w:tcBorders>
              <w:bottom w:val="single" w:sz="8" w:color="auto"/>
            </w:tcBorders>
            <w:gridSpan w:val="3"/>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90"/>
        </w:trPr>
        <w:tc>
          <w:tcPr>
            <w:tcW w:w="10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9"/>
          </w:tcPr>
          <w:p>
            <w:pPr>
              <w:jc w:val="right"/>
              <w:spacing w:after="0"/>
              <w:rPr>
                <w:sz w:val="20"/>
                <w:szCs w:val="20"/>
                <w:color w:val="auto"/>
              </w:rPr>
            </w:pPr>
            <w:r>
              <w:rPr>
                <w:rFonts w:ascii="Arial" w:cs="Arial" w:eastAsia="Arial" w:hAnsi="Arial"/>
                <w:sz w:val="14"/>
                <w:szCs w:val="14"/>
                <w:b w:val="1"/>
                <w:bCs w:val="1"/>
                <w:color w:val="auto"/>
                <w:w w:val="97"/>
              </w:rPr>
              <w:t>Nine Months Ended</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6"/>
        </w:trPr>
        <w:tc>
          <w:tcPr>
            <w:tcW w:w="10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9"/>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64"/>
        </w:trPr>
        <w:tc>
          <w:tcPr>
            <w:tcW w:w="1020" w:type="dxa"/>
            <w:vAlign w:val="bottom"/>
            <w:tcBorders>
              <w:bottom w:val="single" w:sz="8" w:color="CCEEFF"/>
            </w:tcBorders>
          </w:tcPr>
          <w:p>
            <w:pPr>
              <w:spacing w:after="0"/>
              <w:rPr>
                <w:sz w:val="22"/>
                <w:szCs w:val="22"/>
                <w:color w:val="auto"/>
              </w:rPr>
            </w:pPr>
          </w:p>
        </w:tc>
        <w:tc>
          <w:tcPr>
            <w:tcW w:w="42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9"/>
              </w:rPr>
              <w:t>2012</w:t>
            </w:r>
          </w:p>
        </w:tc>
        <w:tc>
          <w:tcPr>
            <w:tcW w:w="50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w w:val="96"/>
              </w:rPr>
              <w:t>2011</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West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b w:val="1"/>
                <w:bCs w:val="1"/>
                <w:color w:val="auto"/>
                <w:w w:val="84"/>
              </w:rPr>
              <w:t>2,131</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gridSpan w:val="3"/>
          </w:tcPr>
          <w:p>
            <w:pPr>
              <w:jc w:val="center"/>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3,197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East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84"/>
              </w:rPr>
              <w:t>2,890</w:t>
            </w: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Southeast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b w:val="1"/>
                <w:bCs w:val="1"/>
                <w:color w:val="auto"/>
                <w:w w:val="84"/>
              </w:rPr>
              <w:t>1,620</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Pre-Owned (b)</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84"/>
              </w:rPr>
              <w:t>7,932</w:t>
            </w: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4,801</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Corporate and unallocated</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b w:val="1"/>
                <w:bCs w:val="1"/>
                <w:color w:val="auto"/>
              </w:rPr>
              <w:t>544</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Consolidated total</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gridSpan w:val="4"/>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15,117</w:t>
            </w:r>
          </w:p>
        </w:tc>
        <w:tc>
          <w:tcPr>
            <w:tcW w:w="2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12,134</w:t>
            </w:r>
          </w:p>
        </w:tc>
        <w:tc>
          <w:tcPr>
            <w:tcW w:w="100" w:type="dxa"/>
            <w:vAlign w:val="bottom"/>
            <w:tcBorders>
              <w:left w:val="single" w:sz="8" w:color="CCEEFF"/>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80"/>
          </w:cols>
          <w:pgMar w:left="240" w:top="114" w:right="779" w:bottom="1440" w:gutter="0" w:footer="0" w:header="0"/>
        </w:sectPr>
      </w:pPr>
    </w:p>
    <w:p>
      <w:pPr>
        <w:spacing w:after="0" w:line="24" w:lineRule="exact"/>
        <w:rPr>
          <w:sz w:val="20"/>
          <w:szCs w:val="20"/>
          <w:color w:val="auto"/>
        </w:rPr>
      </w:pPr>
    </w:p>
    <w:p>
      <w:pPr>
        <w:jc w:val="center"/>
        <w:ind w:right="-539"/>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0880"/>
          </w:cols>
          <w:pgMar w:left="240" w:top="114" w:right="77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7940" w:type="dxa"/>
            <w:vAlign w:val="bottom"/>
            <w:gridSpan w:val="2"/>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865"/>
        </w:trPr>
        <w:tc>
          <w:tcPr>
            <w:tcW w:w="1020" w:type="dxa"/>
            <w:vAlign w:val="bottom"/>
            <w:tcBorders>
              <w:top w:val="single" w:sz="8" w:color="0000FF"/>
            </w:tcBorders>
          </w:tcPr>
          <w:p>
            <w:pPr>
              <w:spacing w:after="0"/>
              <w:rPr>
                <w:sz w:val="24"/>
                <w:szCs w:val="24"/>
                <w:color w:val="auto"/>
              </w:rPr>
            </w:pPr>
          </w:p>
        </w:tc>
        <w:tc>
          <w:tcPr>
            <w:tcW w:w="6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2012</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September 30, 2011</w:t>
            </w:r>
          </w:p>
        </w:tc>
      </w:tr>
      <w:tr>
        <w:trPr>
          <w:trHeight w:val="250"/>
        </w:trPr>
        <w:tc>
          <w:tcPr>
            <w:tcW w:w="79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West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639,744</w:t>
            </w:r>
          </w:p>
        </w:tc>
        <w:tc>
          <w:tcPr>
            <w:tcW w:w="32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649,057</w:t>
            </w:r>
          </w:p>
        </w:tc>
      </w:tr>
      <w:tr>
        <w:trPr>
          <w:trHeight w:val="27"/>
        </w:trPr>
        <w:tc>
          <w:tcPr>
            <w:tcW w:w="10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East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359,526</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372,984</w:t>
            </w:r>
          </w:p>
        </w:tc>
      </w:tr>
      <w:tr>
        <w:trPr>
          <w:trHeight w:val="243"/>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Southeast</w:t>
            </w:r>
          </w:p>
        </w:tc>
        <w:tc>
          <w:tcPr>
            <w:tcW w:w="18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180,240</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162,135</w:t>
            </w:r>
          </w:p>
        </w:tc>
      </w:tr>
      <w:tr>
        <w:trPr>
          <w:trHeight w:val="27"/>
        </w:trPr>
        <w:tc>
          <w:tcPr>
            <w:tcW w:w="10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Pre-Owned (b)</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12,315</w:t>
            </w:r>
          </w:p>
        </w:tc>
      </w:tr>
      <w:tr>
        <w:trPr>
          <w:trHeight w:val="243"/>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Corporate and unallocated (c)</w:t>
            </w:r>
          </w:p>
        </w:tc>
        <w:tc>
          <w:tcPr>
            <w:tcW w:w="18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647,238</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780,986</w:t>
            </w:r>
          </w:p>
        </w:tc>
      </w:tr>
      <w:tr>
        <w:trPr>
          <w:trHeight w:val="27"/>
        </w:trPr>
        <w:tc>
          <w:tcPr>
            <w:tcW w:w="1020" w:type="dxa"/>
            <w:vAlign w:val="bottom"/>
            <w:tcBorders>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Consolidated 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1,826,748</w:t>
            </w:r>
          </w:p>
        </w:tc>
        <w:tc>
          <w:tcPr>
            <w:tcW w:w="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1,977,477</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20" w:hanging="652"/>
        <w:spacing w:after="0" w:line="26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Corporate and unallocated includes amortization of capitalized interest and numerous shared services functions that benefit all segments, the costs of which are not allocated to the operating segments reported above including information technology, national sourcing and purchasing, treasury, corporate finance, legal, branding and other national marketing costs. For the nine months ended June 30, 2012, corporate and unallocated also includes an $11 million recovery related to old water intrusion warranty and related legal expenditures.</w:t>
      </w:r>
    </w:p>
    <w:p>
      <w:pPr>
        <w:spacing w:after="0" w:line="2" w:lineRule="exact"/>
        <w:rPr>
          <w:rFonts w:ascii="Arial" w:cs="Arial" w:eastAsia="Arial" w:hAnsi="Arial"/>
          <w:sz w:val="17"/>
          <w:szCs w:val="17"/>
          <w:color w:val="auto"/>
        </w:rPr>
      </w:pPr>
    </w:p>
    <w:p>
      <w:pPr>
        <w:ind w:left="660" w:right="140" w:hanging="652"/>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Pre-owned assets included the cost of previously owned homes, net of accumulated depreciation, totaling $11.3 million (120 homes) as of September 30, 2011. Capital expenditures represent the purchase of previously owned homes through May 2, 2012 and June 30, 2011, respectively.</w:t>
      </w:r>
    </w:p>
    <w:p>
      <w:pPr>
        <w:spacing w:after="0" w:line="1" w:lineRule="exact"/>
        <w:rPr>
          <w:rFonts w:ascii="Arial" w:cs="Arial" w:eastAsia="Arial" w:hAnsi="Arial"/>
          <w:sz w:val="16"/>
          <w:szCs w:val="16"/>
          <w:color w:val="auto"/>
        </w:rPr>
      </w:pPr>
    </w:p>
    <w:p>
      <w:pPr>
        <w:ind w:left="660" w:right="260" w:hanging="652"/>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Primarily consists of cash and cash equivalents, consolidated inventory not owned, deferred taxes, capitalized interest and other items that are not allocated to the segments.</w:t>
      </w:r>
    </w:p>
    <w:p>
      <w:pPr>
        <w:ind w:left="660" w:hanging="652"/>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nine months ended June 30, 2011, includes a $6.8 million benefit related to the cash reimbursement from our former CEO in connection with his consent agreement with the Securities and Exchange Commission.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Pre-owned Homes Business</w:t>
      </w:r>
    </w:p>
    <w:p>
      <w:pPr>
        <w:spacing w:after="0" w:line="2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Beazer began its Pre-Owned Homes business for the purpose of acquiring, improving, renting and ultimately reselling, previously owned homes within select communities in markets in which we operate. We purchased our first home in March 2011. Effective May 3, 2012, we contributed $0.3 million in cash and our Pre-Owned Homes business at cost, including 190 homes in Arizona and Nevada, of which 187 were leased, for a 23.5% equity method investment in an unconsolidated real estate investment trust (the REIT). In addition, the Company received a grant of restricted units in the REIT, of which a portion vested during the quarter ended June 30, 2012, increasing our total investment to 25% of the REIT. Subsequent to the initial REIT offering, we entered into a transition services agreement with the REIT under which we will provide interim Chief Financial Officer and various back office and administrative support on an as needed basis. These services may include treasury operations and cash management services, accounting and financial reporting services, human resources support, environmental and safety services, and tax support. Fees received related to the transition services agreement will be billed at our cost and recognized as other income.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00"/>
          </w:cols>
          <w:pgMar w:left="240" w:top="114" w:right="25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Supplemental Guarantor Information</w:t>
      </w:r>
    </w:p>
    <w:p>
      <w:pPr>
        <w:spacing w:after="0" w:line="9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As discussed in Note 7, our obligations to pay principal, premium, if any, and interest under certain debt are guaranteed on a joint and several basis by substantially all of our subsidiaries. Certain of our immaterial subsidiaries do not guarantee our Senior Notes or our Secured Revolving Credit Facility. The guarantees are full and unconditional and the guarantor subsidiaries are 100% owned by Beazer Homes USA, Inc. We have revised the prior period presentation for intercompany amounts included in the financial statements below to be consistent with the current year presentation.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Beazer Homes USA,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Consolidating Balance Sheet Information</w:t>
      </w:r>
    </w:p>
    <w:p>
      <w:pPr>
        <w:spacing w:after="0" w:line="9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2012</w:t>
      </w:r>
    </w:p>
    <w:p>
      <w:pPr>
        <w:spacing w:after="0" w:line="90"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32"/>
              <w:spacing w:after="0"/>
              <w:rPr>
                <w:sz w:val="20"/>
                <w:szCs w:val="20"/>
                <w:color w:val="auto"/>
              </w:rPr>
            </w:pPr>
            <w:r>
              <w:rPr>
                <w:rFonts w:ascii="Arial" w:cs="Arial" w:eastAsia="Arial" w:hAnsi="Arial"/>
                <w:sz w:val="14"/>
                <w:szCs w:val="14"/>
                <w:color w:val="auto"/>
                <w:w w:val="92"/>
              </w:rPr>
              <w:t>Consolidated</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0"/>
              </w:rPr>
              <w:t>Beazer Homes</w:t>
            </w:r>
          </w:p>
        </w:tc>
        <w:tc>
          <w:tcPr>
            <w:tcW w:w="260" w:type="dxa"/>
            <w:vAlign w:val="bottom"/>
          </w:tcPr>
          <w:p>
            <w:pPr>
              <w:spacing w:after="0"/>
              <w:rPr>
                <w:sz w:val="12"/>
                <w:szCs w:val="12"/>
                <w:color w:val="auto"/>
              </w:rPr>
            </w:pPr>
          </w:p>
        </w:tc>
        <w:tc>
          <w:tcPr>
            <w:tcW w:w="13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Guarantor</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4"/>
              </w:rPr>
              <w:t>Non-Guarantor</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Consolidating</w:t>
            </w:r>
          </w:p>
        </w:tc>
        <w:tc>
          <w:tcPr>
            <w:tcW w:w="220" w:type="dxa"/>
            <w:vAlign w:val="bottom"/>
          </w:tcPr>
          <w:p>
            <w:pPr>
              <w:spacing w:after="0"/>
              <w:rPr>
                <w:sz w:val="12"/>
                <w:szCs w:val="12"/>
                <w:color w:val="auto"/>
              </w:rPr>
            </w:pPr>
          </w:p>
        </w:tc>
        <w:tc>
          <w:tcPr>
            <w:tcW w:w="1260" w:type="dxa"/>
            <w:vAlign w:val="bottom"/>
          </w:tcPr>
          <w:p>
            <w:pPr>
              <w:jc w:val="center"/>
              <w:ind w:right="132"/>
              <w:spacing w:after="0" w:line="149" w:lineRule="exact"/>
              <w:rPr>
                <w:sz w:val="20"/>
                <w:szCs w:val="20"/>
                <w:color w:val="auto"/>
              </w:rPr>
            </w:pPr>
            <w:r>
              <w:rPr>
                <w:rFonts w:ascii="Arial" w:cs="Arial" w:eastAsia="Arial" w:hAnsi="Arial"/>
                <w:sz w:val="14"/>
                <w:szCs w:val="14"/>
                <w:color w:val="auto"/>
                <w:w w:val="90"/>
              </w:rPr>
              <w:t>Beazer Homes</w:t>
            </w:r>
          </w:p>
        </w:tc>
        <w:tc>
          <w:tcPr>
            <w:tcW w:w="0" w:type="dxa"/>
            <w:vAlign w:val="bottom"/>
          </w:tcPr>
          <w:p>
            <w:pPr>
              <w:spacing w:after="0"/>
              <w:rPr>
                <w:sz w:val="1"/>
                <w:szCs w:val="1"/>
                <w:color w:val="auto"/>
              </w:rPr>
            </w:pPr>
          </w:p>
        </w:tc>
      </w:tr>
      <w:tr>
        <w:trPr>
          <w:trHeight w:val="188"/>
        </w:trPr>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color w:val="auto"/>
                <w:w w:val="97"/>
              </w:rPr>
              <w:t>USA, Inc.</w:t>
            </w:r>
          </w:p>
        </w:tc>
        <w:tc>
          <w:tcPr>
            <w:tcW w:w="26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color w:val="auto"/>
              </w:rPr>
              <w:t>Subsidiaries</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Subsidiaries</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Adjustments</w:t>
            </w:r>
          </w:p>
        </w:tc>
        <w:tc>
          <w:tcPr>
            <w:tcW w:w="220" w:type="dxa"/>
            <w:vAlign w:val="bottom"/>
          </w:tcPr>
          <w:p>
            <w:pPr>
              <w:spacing w:after="0"/>
              <w:rPr>
                <w:sz w:val="16"/>
                <w:szCs w:val="16"/>
                <w:color w:val="auto"/>
              </w:rPr>
            </w:pPr>
          </w:p>
        </w:tc>
        <w:tc>
          <w:tcPr>
            <w:tcW w:w="1260" w:type="dxa"/>
            <w:vAlign w:val="bottom"/>
          </w:tcPr>
          <w:p>
            <w:pPr>
              <w:jc w:val="center"/>
              <w:ind w:right="112"/>
              <w:spacing w:after="0"/>
              <w:rPr>
                <w:sz w:val="20"/>
                <w:szCs w:val="20"/>
                <w:color w:val="auto"/>
              </w:rPr>
            </w:pPr>
            <w:r>
              <w:rPr>
                <w:rFonts w:ascii="Arial" w:cs="Arial" w:eastAsia="Arial" w:hAnsi="Arial"/>
                <w:sz w:val="14"/>
                <w:szCs w:val="14"/>
                <w:color w:val="auto"/>
                <w:w w:val="97"/>
              </w:rPr>
              <w:t>USA, Inc.</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225,625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6,622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231,616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271,446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271,782</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Accounts receivable (net of allowance of</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$2,194)</w:t>
            </w:r>
          </w:p>
        </w:tc>
        <w:tc>
          <w:tcPr>
            <w:tcW w:w="24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25,001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25,010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Owned inventory</w:t>
            </w:r>
          </w:p>
        </w:tc>
        <w:tc>
          <w:tcPr>
            <w:tcW w:w="24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1,186,817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1,186,817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inventory not owned</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14,078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Investments in unconsolidated entities</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40,814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41,587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20,849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20,849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Previously owned rental homes, net</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Investments in subsidiaries</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80,788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(80,788)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1,048,607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(1,051,612)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15,466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9,050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26,366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1,651,348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1,303,567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(1,134,104)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1,826,748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5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73,473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73,473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37,937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85,580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125,764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1,052,214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(1,053,316)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9"/>
              </w:rPr>
              <w:t>Obligations related to land not owned under</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option agreements</w:t>
            </w:r>
          </w:p>
        </w:tc>
        <w:tc>
          <w:tcPr>
            <w:tcW w:w="24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6,029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6,029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 (net of discounts of $20,348)</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1,433,234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1,442,407</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1,472,273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1,226,469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(1,053,316)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1,647,673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179,075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179,075</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1,651,348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1,303,567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5,937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(1,134,104)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1,826,748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ind w:left="200"/>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Beazer Homes USA, Inc.</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Unaudited Consolidating Balance Sheet Information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32"/>
              <w:spacing w:after="0"/>
              <w:rPr>
                <w:sz w:val="20"/>
                <w:szCs w:val="20"/>
                <w:color w:val="auto"/>
              </w:rPr>
            </w:pPr>
            <w:r>
              <w:rPr>
                <w:rFonts w:ascii="Arial" w:cs="Arial" w:eastAsia="Arial" w:hAnsi="Arial"/>
                <w:sz w:val="14"/>
                <w:szCs w:val="14"/>
                <w:color w:val="auto"/>
                <w:w w:val="92"/>
              </w:rPr>
              <w:t>Consolidated</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0"/>
              </w:rPr>
              <w:t>Beazer Homes</w:t>
            </w:r>
          </w:p>
        </w:tc>
        <w:tc>
          <w:tcPr>
            <w:tcW w:w="260" w:type="dxa"/>
            <w:vAlign w:val="bottom"/>
          </w:tcPr>
          <w:p>
            <w:pPr>
              <w:spacing w:after="0"/>
              <w:rPr>
                <w:sz w:val="12"/>
                <w:szCs w:val="12"/>
                <w:color w:val="auto"/>
              </w:rPr>
            </w:pPr>
          </w:p>
        </w:tc>
        <w:tc>
          <w:tcPr>
            <w:tcW w:w="13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Guarantor</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4"/>
              </w:rPr>
              <w:t>Non-Guarantor</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Consolidating</w:t>
            </w:r>
          </w:p>
        </w:tc>
        <w:tc>
          <w:tcPr>
            <w:tcW w:w="220" w:type="dxa"/>
            <w:vAlign w:val="bottom"/>
          </w:tcPr>
          <w:p>
            <w:pPr>
              <w:spacing w:after="0"/>
              <w:rPr>
                <w:sz w:val="12"/>
                <w:szCs w:val="12"/>
                <w:color w:val="auto"/>
              </w:rPr>
            </w:pPr>
          </w:p>
        </w:tc>
        <w:tc>
          <w:tcPr>
            <w:tcW w:w="1260" w:type="dxa"/>
            <w:vAlign w:val="bottom"/>
          </w:tcPr>
          <w:p>
            <w:pPr>
              <w:jc w:val="center"/>
              <w:ind w:right="132"/>
              <w:spacing w:after="0" w:line="149" w:lineRule="exact"/>
              <w:rPr>
                <w:sz w:val="20"/>
                <w:szCs w:val="20"/>
                <w:color w:val="auto"/>
              </w:rPr>
            </w:pPr>
            <w:r>
              <w:rPr>
                <w:rFonts w:ascii="Arial" w:cs="Arial" w:eastAsia="Arial" w:hAnsi="Arial"/>
                <w:sz w:val="14"/>
                <w:szCs w:val="14"/>
                <w:color w:val="auto"/>
                <w:w w:val="90"/>
              </w:rPr>
              <w:t>Beazer Homes</w:t>
            </w:r>
          </w:p>
        </w:tc>
        <w:tc>
          <w:tcPr>
            <w:tcW w:w="0" w:type="dxa"/>
            <w:vAlign w:val="bottom"/>
          </w:tcPr>
          <w:p>
            <w:pPr>
              <w:spacing w:after="0"/>
              <w:rPr>
                <w:sz w:val="1"/>
                <w:szCs w:val="1"/>
                <w:color w:val="auto"/>
              </w:rPr>
            </w:pPr>
          </w:p>
        </w:tc>
      </w:tr>
      <w:tr>
        <w:trPr>
          <w:trHeight w:val="188"/>
        </w:trPr>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color w:val="auto"/>
                <w:w w:val="97"/>
              </w:rPr>
              <w:t>USA, Inc.</w:t>
            </w:r>
          </w:p>
        </w:tc>
        <w:tc>
          <w:tcPr>
            <w:tcW w:w="26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color w:val="auto"/>
              </w:rPr>
              <w:t>Subsidiaries</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Subsidiaries</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Adjustments</w:t>
            </w:r>
          </w:p>
        </w:tc>
        <w:tc>
          <w:tcPr>
            <w:tcW w:w="220" w:type="dxa"/>
            <w:vAlign w:val="bottom"/>
          </w:tcPr>
          <w:p>
            <w:pPr>
              <w:spacing w:after="0"/>
              <w:rPr>
                <w:sz w:val="16"/>
                <w:szCs w:val="16"/>
                <w:color w:val="auto"/>
              </w:rPr>
            </w:pPr>
          </w:p>
        </w:tc>
        <w:tc>
          <w:tcPr>
            <w:tcW w:w="1260" w:type="dxa"/>
            <w:vAlign w:val="bottom"/>
          </w:tcPr>
          <w:p>
            <w:pPr>
              <w:jc w:val="center"/>
              <w:ind w:right="112"/>
              <w:spacing w:after="0"/>
              <w:rPr>
                <w:sz w:val="20"/>
                <w:szCs w:val="20"/>
                <w:color w:val="auto"/>
              </w:rPr>
            </w:pPr>
            <w:r>
              <w:rPr>
                <w:rFonts w:ascii="Arial" w:cs="Arial" w:eastAsia="Arial" w:hAnsi="Arial"/>
                <w:sz w:val="14"/>
                <w:szCs w:val="14"/>
                <w:color w:val="auto"/>
                <w:w w:val="97"/>
              </w:rPr>
              <w:t>USA, Inc.</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360,723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10,488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370,403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276,678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277,058</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Accounts receivable (net of allowance of</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$3,872)</w:t>
            </w:r>
          </w:p>
        </w:tc>
        <w:tc>
          <w:tcPr>
            <w:tcW w:w="24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28,292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28,303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Owned inventory</w:t>
            </w:r>
          </w:p>
        </w:tc>
        <w:tc>
          <w:tcPr>
            <w:tcW w:w="24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1,192,380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1,192,380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inventory not owned</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11,753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Investments in unconsolidated entities</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8,694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9,467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22,613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22,613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Previously owned rental homes, net</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11,347</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Investments in subsidiaries</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100,996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(100,996)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1,013,753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(1,018,526)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18,550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25,190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46,570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1,779,056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1,311,137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(1,120,748)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1,977,477</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5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72,695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72,695</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93,047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116,210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212,187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1,018,680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(1,019,752)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8"/>
              </w:rPr>
              <w:t>Obligations related to consolidated inventory</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not owned</w:t>
            </w:r>
          </w:p>
        </w:tc>
        <w:tc>
          <w:tcPr>
            <w:tcW w:w="24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5,389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5,389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 (net of discounts of $23,243)</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1,486,557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1,488,826</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1,580,676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1,215,243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(1,019,752)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1,779,097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198,380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95,894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198,380</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1,779,056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1,311,137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8,032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(1,120,748)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1,977,477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ind w:left="200"/>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Beazer Homes USA, Inc.</w:t>
      </w:r>
    </w:p>
    <w:p>
      <w:pPr>
        <w:spacing w:after="0" w:line="17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Unaudited Consolidating Statement of Operations Information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color w:val="auto"/>
                <w:w w:val="92"/>
              </w:rPr>
              <w:t>Consolidated</w:t>
            </w:r>
          </w:p>
        </w:tc>
      </w:tr>
      <w:tr>
        <w:trPr>
          <w:trHeight w:val="149"/>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Beazer Homes</w:t>
            </w: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Guarantor</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Non-Guarantor</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4"/>
              </w:rPr>
              <w:t>Consolidating</w:t>
            </w:r>
          </w:p>
        </w:tc>
        <w:tc>
          <w:tcPr>
            <w:tcW w:w="180" w:type="dxa"/>
            <w:vAlign w:val="bottom"/>
          </w:tcPr>
          <w:p>
            <w:pPr>
              <w:spacing w:after="0"/>
              <w:rPr>
                <w:sz w:val="12"/>
                <w:szCs w:val="12"/>
                <w:color w:val="auto"/>
              </w:rPr>
            </w:pPr>
          </w:p>
        </w:tc>
        <w:tc>
          <w:tcPr>
            <w:tcW w:w="1180" w:type="dxa"/>
            <w:vAlign w:val="bottom"/>
          </w:tcPr>
          <w:p>
            <w:pPr>
              <w:jc w:val="center"/>
              <w:ind w:right="93"/>
              <w:spacing w:after="0" w:line="149" w:lineRule="exact"/>
              <w:rPr>
                <w:sz w:val="20"/>
                <w:szCs w:val="20"/>
                <w:color w:val="auto"/>
              </w:rPr>
            </w:pPr>
            <w:r>
              <w:rPr>
                <w:rFonts w:ascii="Arial" w:cs="Arial" w:eastAsia="Arial" w:hAnsi="Arial"/>
                <w:sz w:val="14"/>
                <w:szCs w:val="14"/>
                <w:color w:val="auto"/>
                <w:w w:val="90"/>
              </w:rPr>
              <w:t>Beazer Homes</w:t>
            </w:r>
          </w:p>
        </w:tc>
      </w:tr>
      <w:tr>
        <w:trPr>
          <w:trHeight w:val="188"/>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color w:val="auto"/>
                <w:w w:val="97"/>
              </w:rPr>
              <w:t>USA, Inc.</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Subsidiaries</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Subsidiaries</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Adjustments</w:t>
            </w:r>
          </w:p>
        </w:tc>
        <w:tc>
          <w:tcPr>
            <w:tcW w:w="180" w:type="dxa"/>
            <w:vAlign w:val="bottom"/>
          </w:tcPr>
          <w:p>
            <w:pPr>
              <w:spacing w:after="0"/>
              <w:rPr>
                <w:sz w:val="16"/>
                <w:szCs w:val="16"/>
                <w:color w:val="auto"/>
              </w:rPr>
            </w:pPr>
          </w:p>
        </w:tc>
        <w:tc>
          <w:tcPr>
            <w:tcW w:w="1180" w:type="dxa"/>
            <w:vAlign w:val="bottom"/>
          </w:tcPr>
          <w:p>
            <w:pPr>
              <w:jc w:val="center"/>
              <w:ind w:right="113"/>
              <w:spacing w:after="0"/>
              <w:rPr>
                <w:sz w:val="20"/>
                <w:szCs w:val="20"/>
                <w:color w:val="auto"/>
              </w:rPr>
            </w:pPr>
            <w:r>
              <w:rPr>
                <w:rFonts w:ascii="Arial" w:cs="Arial" w:eastAsia="Arial" w:hAnsi="Arial"/>
                <w:sz w:val="14"/>
                <w:szCs w:val="14"/>
                <w:color w:val="auto"/>
                <w:w w:val="97"/>
              </w:rPr>
              <w:t>USA, Inc.</w:t>
            </w: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Three Months Ended June 30, 2012</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254,555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254,555</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construction and land sales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212,096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227,505</w:t>
            </w: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Inventory impairments and option contract</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abandonments</w:t>
            </w:r>
          </w:p>
        </w:tc>
        <w:tc>
          <w:tcPr>
            <w:tcW w:w="20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5,597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5,819</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(loss)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21,231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Commissions</w:t>
            </w:r>
          </w:p>
        </w:tc>
        <w:tc>
          <w:tcPr>
            <w:tcW w:w="2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10,776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10,776</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27,867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3,743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3,743</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Equity in income of unconsolidated entities</w:t>
            </w:r>
          </w:p>
        </w:tc>
        <w:tc>
          <w:tcPr>
            <w:tcW w:w="2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48</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(16,804)</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(37,911)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12,936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145</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loss of subsidiaries</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(Loss) income from continuing operations</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(38,056)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(17,971)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17,820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(38,056)</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Equity in loss of subsidiaries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1,828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(19,791)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19,648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(39,884)</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37"/>
        </w:trPr>
        <w:tc>
          <w:tcPr>
            <w:tcW w:w="4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center"/>
              <w:ind w:right="93"/>
              <w:spacing w:after="0" w:line="137" w:lineRule="exact"/>
              <w:rPr>
                <w:sz w:val="20"/>
                <w:szCs w:val="20"/>
                <w:color w:val="auto"/>
              </w:rPr>
            </w:pPr>
            <w:r>
              <w:rPr>
                <w:rFonts w:ascii="Arial" w:cs="Arial" w:eastAsia="Arial" w:hAnsi="Arial"/>
                <w:sz w:val="14"/>
                <w:szCs w:val="14"/>
                <w:color w:val="auto"/>
                <w:w w:val="92"/>
              </w:rPr>
              <w:t>Consolidated</w:t>
            </w:r>
          </w:p>
        </w:tc>
      </w:tr>
      <w:tr>
        <w:trPr>
          <w:trHeight w:val="149"/>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Beazer Homes</w:t>
            </w: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Guarantor</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Non-Guarantor</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4"/>
              </w:rPr>
              <w:t>Consolidating</w:t>
            </w:r>
          </w:p>
        </w:tc>
        <w:tc>
          <w:tcPr>
            <w:tcW w:w="180" w:type="dxa"/>
            <w:vAlign w:val="bottom"/>
          </w:tcPr>
          <w:p>
            <w:pPr>
              <w:spacing w:after="0"/>
              <w:rPr>
                <w:sz w:val="12"/>
                <w:szCs w:val="12"/>
                <w:color w:val="auto"/>
              </w:rPr>
            </w:pPr>
          </w:p>
        </w:tc>
        <w:tc>
          <w:tcPr>
            <w:tcW w:w="1180" w:type="dxa"/>
            <w:vAlign w:val="bottom"/>
          </w:tcPr>
          <w:p>
            <w:pPr>
              <w:jc w:val="center"/>
              <w:ind w:right="93"/>
              <w:spacing w:after="0" w:line="149" w:lineRule="exact"/>
              <w:rPr>
                <w:sz w:val="20"/>
                <w:szCs w:val="20"/>
                <w:color w:val="auto"/>
              </w:rPr>
            </w:pPr>
            <w:r>
              <w:rPr>
                <w:rFonts w:ascii="Arial" w:cs="Arial" w:eastAsia="Arial" w:hAnsi="Arial"/>
                <w:sz w:val="14"/>
                <w:szCs w:val="14"/>
                <w:color w:val="auto"/>
                <w:w w:val="90"/>
              </w:rPr>
              <w:t>Beazer Homes</w:t>
            </w:r>
          </w:p>
        </w:tc>
      </w:tr>
      <w:tr>
        <w:trPr>
          <w:trHeight w:val="188"/>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color w:val="auto"/>
                <w:w w:val="97"/>
              </w:rPr>
              <w:t>USA, Inc.</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Subsidiaries</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Subsidiaries</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Adjustments</w:t>
            </w:r>
          </w:p>
        </w:tc>
        <w:tc>
          <w:tcPr>
            <w:tcW w:w="180" w:type="dxa"/>
            <w:vAlign w:val="bottom"/>
          </w:tcPr>
          <w:p>
            <w:pPr>
              <w:spacing w:after="0"/>
              <w:rPr>
                <w:sz w:val="16"/>
                <w:szCs w:val="16"/>
                <w:color w:val="auto"/>
              </w:rPr>
            </w:pPr>
          </w:p>
        </w:tc>
        <w:tc>
          <w:tcPr>
            <w:tcW w:w="1180" w:type="dxa"/>
            <w:vAlign w:val="bottom"/>
          </w:tcPr>
          <w:p>
            <w:pPr>
              <w:jc w:val="center"/>
              <w:ind w:right="113"/>
              <w:spacing w:after="0"/>
              <w:rPr>
                <w:sz w:val="20"/>
                <w:szCs w:val="20"/>
                <w:color w:val="auto"/>
              </w:rPr>
            </w:pPr>
            <w:r>
              <w:rPr>
                <w:rFonts w:ascii="Arial" w:cs="Arial" w:eastAsia="Arial" w:hAnsi="Arial"/>
                <w:sz w:val="14"/>
                <w:szCs w:val="14"/>
                <w:color w:val="auto"/>
                <w:w w:val="97"/>
              </w:rPr>
              <w:t>USA, Inc.</w:t>
            </w: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Three Months Ended June 30, 2011</w:t>
            </w: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41"/>
        </w:trPr>
        <w:tc>
          <w:tcPr>
            <w:tcW w:w="4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172,829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172,829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Home construction and land sales expenses</w:t>
            </w:r>
          </w:p>
        </w:tc>
        <w:tc>
          <w:tcPr>
            <w:tcW w:w="2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11,179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141,231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152,124</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Inventory impairments and option contract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abandonments</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6,870</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Gross (loss) profit</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(11,559)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25,108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13,835</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Commissions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7,843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38,545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38,571</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2,660</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(11,559)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(23,940)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(35,239)</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of unconsolidated entities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Gain on extinguishment of debt</w:t>
            </w:r>
          </w:p>
        </w:tc>
        <w:tc>
          <w:tcPr>
            <w:tcW w:w="2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95</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(17,085)</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(Loss) income before income taxes</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(29,171)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(23,268)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(52,166)</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Equity in loss of subsidiaries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(37,923)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37,923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(55,755)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Loss from discontinued operations</w:t>
            </w:r>
          </w:p>
        </w:tc>
        <w:tc>
          <w:tcPr>
            <w:tcW w:w="2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(3,365)</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loss of subsidiaries</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(59,120)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(41,462)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41,288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(59,120)</w:t>
            </w: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Beazer Homes USA, Inc.</w:t>
      </w:r>
    </w:p>
    <w:p>
      <w:pPr>
        <w:spacing w:after="0" w:line="17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Unaudited Consolidating Statement of Operations Information</w:t>
      </w:r>
    </w:p>
    <w:p>
      <w:pPr>
        <w:spacing w:after="0" w:line="90"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53"/>
              <w:spacing w:after="0"/>
              <w:rPr>
                <w:sz w:val="20"/>
                <w:szCs w:val="20"/>
                <w:color w:val="auto"/>
              </w:rPr>
            </w:pPr>
            <w:r>
              <w:rPr>
                <w:rFonts w:ascii="Arial" w:cs="Arial" w:eastAsia="Arial" w:hAnsi="Arial"/>
                <w:sz w:val="14"/>
                <w:szCs w:val="14"/>
                <w:color w:val="auto"/>
                <w:w w:val="92"/>
              </w:rPr>
              <w:t>Consolidated</w:t>
            </w:r>
          </w:p>
        </w:tc>
      </w:tr>
      <w:tr>
        <w:trPr>
          <w:trHeight w:val="149"/>
        </w:trPr>
        <w:tc>
          <w:tcPr>
            <w:tcW w:w="2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Beazer Homes</w:t>
            </w:r>
          </w:p>
        </w:tc>
        <w:tc>
          <w:tcPr>
            <w:tcW w:w="1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Guarantor</w:t>
            </w: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Non-Guarantor</w:t>
            </w: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Consolidating</w:t>
            </w:r>
          </w:p>
        </w:tc>
        <w:tc>
          <w:tcPr>
            <w:tcW w:w="140" w:type="dxa"/>
            <w:vAlign w:val="bottom"/>
          </w:tcPr>
          <w:p>
            <w:pPr>
              <w:spacing w:after="0"/>
              <w:rPr>
                <w:sz w:val="12"/>
                <w:szCs w:val="12"/>
                <w:color w:val="auto"/>
              </w:rPr>
            </w:pPr>
          </w:p>
        </w:tc>
        <w:tc>
          <w:tcPr>
            <w:tcW w:w="106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90"/>
              </w:rPr>
              <w:t>Beazer Homes</w:t>
            </w:r>
          </w:p>
        </w:tc>
      </w:tr>
      <w:tr>
        <w:trPr>
          <w:trHeight w:val="188"/>
        </w:trPr>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USA, Inc.</w:t>
            </w:r>
          </w:p>
        </w:tc>
        <w:tc>
          <w:tcPr>
            <w:tcW w:w="18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Subsidiaries</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Subsidiaries</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Adjustments</w:t>
            </w:r>
          </w:p>
        </w:tc>
        <w:tc>
          <w:tcPr>
            <w:tcW w:w="140" w:type="dxa"/>
            <w:vAlign w:val="bottom"/>
          </w:tcPr>
          <w:p>
            <w:pPr>
              <w:spacing w:after="0"/>
              <w:rPr>
                <w:sz w:val="16"/>
                <w:szCs w:val="16"/>
                <w:color w:val="auto"/>
              </w:rPr>
            </w:pPr>
          </w:p>
        </w:tc>
        <w:tc>
          <w:tcPr>
            <w:tcW w:w="1060" w:type="dxa"/>
            <w:vAlign w:val="bottom"/>
          </w:tcPr>
          <w:p>
            <w:pPr>
              <w:jc w:val="center"/>
              <w:ind w:right="73"/>
              <w:spacing w:after="0"/>
              <w:rPr>
                <w:sz w:val="20"/>
                <w:szCs w:val="20"/>
                <w:color w:val="auto"/>
              </w:rPr>
            </w:pPr>
            <w:r>
              <w:rPr>
                <w:rFonts w:ascii="Arial" w:cs="Arial" w:eastAsia="Arial" w:hAnsi="Arial"/>
                <w:sz w:val="14"/>
                <w:szCs w:val="14"/>
                <w:color w:val="auto"/>
                <w:w w:val="97"/>
              </w:rPr>
              <w:t>USA, Inc.</w:t>
            </w:r>
          </w:p>
        </w:tc>
      </w:tr>
      <w:tr>
        <w:trPr>
          <w:trHeight w:val="250"/>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w w:val="99"/>
              </w:rPr>
              <w:t>Nine Months Ended June 30, 2012</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634,746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634,746</w:t>
            </w:r>
          </w:p>
        </w:tc>
      </w:tr>
      <w:tr>
        <w:trPr>
          <w:trHeight w:val="27"/>
        </w:trPr>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construction and land sales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520,137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560,564</w:t>
            </w: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Inventory impairments and option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contract abandonments</w:t>
            </w:r>
          </w:p>
        </w:tc>
        <w:tc>
          <w:tcPr>
            <w:tcW w:w="14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10,217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10,492</w:t>
            </w:r>
          </w:p>
        </w:tc>
      </w:tr>
      <w:tr>
        <w:trPr>
          <w:trHeight w:val="27"/>
        </w:trPr>
        <w:tc>
          <w:tcPr>
            <w:tcW w:w="2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(loss)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104,392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63,690</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Commissions</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27,522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27,522</w:t>
            </w:r>
          </w:p>
        </w:tc>
      </w:tr>
      <w:tr>
        <w:trPr>
          <w:trHeight w:val="27"/>
        </w:trPr>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General and administrative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82,291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82,380</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9,336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9,336</w:t>
            </w:r>
          </w:p>
        </w:tc>
      </w:tr>
      <w:tr>
        <w:trPr>
          <w:trHeight w:val="27"/>
        </w:trPr>
        <w:tc>
          <w:tcPr>
            <w:tcW w:w="2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(55,548)</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w w:val="92"/>
              </w:rPr>
              <w:t>Equity in loss of unconsolidated entities</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(2,747)</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(55,147)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(53,342)</w:t>
            </w:r>
          </w:p>
        </w:tc>
      </w:tr>
      <w:tr>
        <w:trPr>
          <w:trHeight w:val="27"/>
        </w:trPr>
        <w:tc>
          <w:tcPr>
            <w:tcW w:w="2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(111,662)</w:t>
            </w: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(Benefit from) provision for income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taxes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(38,597)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(36,438)</w:t>
            </w:r>
          </w:p>
        </w:tc>
      </w:tr>
      <w:tr>
        <w:trPr>
          <w:trHeight w:val="27"/>
        </w:trPr>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loss of subsidiaries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09"/>
        </w:trPr>
        <w:tc>
          <w:tcPr>
            <w:tcW w:w="2940" w:type="dxa"/>
            <w:vAlign w:val="bottom"/>
          </w:tcPr>
          <w:p>
            <w:pPr>
              <w:ind w:left="20"/>
              <w:spacing w:after="0"/>
              <w:rPr>
                <w:sz w:val="20"/>
                <w:szCs w:val="20"/>
                <w:color w:val="auto"/>
              </w:rPr>
            </w:pPr>
            <w:r>
              <w:rPr>
                <w:rFonts w:ascii="Arial" w:cs="Arial" w:eastAsia="Arial" w:hAnsi="Arial"/>
                <w:sz w:val="18"/>
                <w:szCs w:val="18"/>
                <w:color w:val="auto"/>
              </w:rPr>
              <w:t>(Loss) income from continuing</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(75,224)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14,524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(75,224)</w:t>
            </w:r>
          </w:p>
        </w:tc>
      </w:tr>
      <w:tr>
        <w:trPr>
          <w:trHeight w:val="27"/>
        </w:trPr>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(3,869)</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Equity in loss of subsidiaries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3,869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2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18,393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(79,093)</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37"/>
        </w:trPr>
        <w:tc>
          <w:tcPr>
            <w:tcW w:w="2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53"/>
              <w:spacing w:after="0" w:line="137" w:lineRule="exact"/>
              <w:rPr>
                <w:sz w:val="20"/>
                <w:szCs w:val="20"/>
                <w:color w:val="auto"/>
              </w:rPr>
            </w:pPr>
            <w:r>
              <w:rPr>
                <w:rFonts w:ascii="Arial" w:cs="Arial" w:eastAsia="Arial" w:hAnsi="Arial"/>
                <w:sz w:val="14"/>
                <w:szCs w:val="14"/>
                <w:color w:val="auto"/>
                <w:w w:val="92"/>
              </w:rPr>
              <w:t>Consolidated</w:t>
            </w:r>
          </w:p>
        </w:tc>
      </w:tr>
      <w:tr>
        <w:trPr>
          <w:trHeight w:val="149"/>
        </w:trPr>
        <w:tc>
          <w:tcPr>
            <w:tcW w:w="2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Beazer Homes</w:t>
            </w:r>
          </w:p>
        </w:tc>
        <w:tc>
          <w:tcPr>
            <w:tcW w:w="1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Guarantor</w:t>
            </w: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Non-Guarantor</w:t>
            </w: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Consolidating</w:t>
            </w:r>
          </w:p>
        </w:tc>
        <w:tc>
          <w:tcPr>
            <w:tcW w:w="140" w:type="dxa"/>
            <w:vAlign w:val="bottom"/>
          </w:tcPr>
          <w:p>
            <w:pPr>
              <w:spacing w:after="0"/>
              <w:rPr>
                <w:sz w:val="12"/>
                <w:szCs w:val="12"/>
                <w:color w:val="auto"/>
              </w:rPr>
            </w:pPr>
          </w:p>
        </w:tc>
        <w:tc>
          <w:tcPr>
            <w:tcW w:w="106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90"/>
              </w:rPr>
              <w:t>Beazer Homes</w:t>
            </w:r>
          </w:p>
        </w:tc>
      </w:tr>
      <w:tr>
        <w:trPr>
          <w:trHeight w:val="188"/>
        </w:trPr>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USA, Inc.</w:t>
            </w:r>
          </w:p>
        </w:tc>
        <w:tc>
          <w:tcPr>
            <w:tcW w:w="18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Subsidiaries</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Subsidiaries</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Adjustments</w:t>
            </w:r>
          </w:p>
        </w:tc>
        <w:tc>
          <w:tcPr>
            <w:tcW w:w="140" w:type="dxa"/>
            <w:vAlign w:val="bottom"/>
          </w:tcPr>
          <w:p>
            <w:pPr>
              <w:spacing w:after="0"/>
              <w:rPr>
                <w:sz w:val="16"/>
                <w:szCs w:val="16"/>
                <w:color w:val="auto"/>
              </w:rPr>
            </w:pPr>
          </w:p>
        </w:tc>
        <w:tc>
          <w:tcPr>
            <w:tcW w:w="1060" w:type="dxa"/>
            <w:vAlign w:val="bottom"/>
          </w:tcPr>
          <w:p>
            <w:pPr>
              <w:jc w:val="center"/>
              <w:ind w:right="73"/>
              <w:spacing w:after="0"/>
              <w:rPr>
                <w:sz w:val="20"/>
                <w:szCs w:val="20"/>
                <w:color w:val="auto"/>
              </w:rPr>
            </w:pPr>
            <w:r>
              <w:rPr>
                <w:rFonts w:ascii="Arial" w:cs="Arial" w:eastAsia="Arial" w:hAnsi="Arial"/>
                <w:sz w:val="14"/>
                <w:szCs w:val="14"/>
                <w:color w:val="auto"/>
                <w:w w:val="97"/>
              </w:rPr>
              <w:t>USA, Inc.</w:t>
            </w: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b w:val="1"/>
                <w:bCs w:val="1"/>
                <w:i w:val="1"/>
                <w:iCs w:val="1"/>
                <w:color w:val="auto"/>
                <w:w w:val="99"/>
              </w:rPr>
              <w:t>Nine Months Ended June 30, 2011</w:t>
            </w: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41"/>
        </w:trPr>
        <w:tc>
          <w:tcPr>
            <w:tcW w:w="2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407,497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407,497</w:t>
            </w: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Home construction and land sales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26,352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332,880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358,413</w:t>
            </w:r>
          </w:p>
        </w:tc>
      </w:tr>
      <w:tr>
        <w:trPr>
          <w:trHeight w:val="27"/>
        </w:trPr>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impairments and option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7"/>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abandonments</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25,331</w:t>
            </w:r>
          </w:p>
        </w:tc>
      </w:tr>
      <w:tr>
        <w:trPr>
          <w:trHeight w:val="237"/>
        </w:trPr>
        <w:tc>
          <w:tcPr>
            <w:tcW w:w="2940" w:type="dxa"/>
            <w:vAlign w:val="bottom"/>
          </w:tcPr>
          <w:p>
            <w:pPr>
              <w:ind w:left="20"/>
              <w:spacing w:after="0"/>
              <w:rPr>
                <w:sz w:val="20"/>
                <w:szCs w:val="20"/>
                <w:color w:val="auto"/>
              </w:rPr>
            </w:pPr>
            <w:r>
              <w:rPr>
                <w:rFonts w:ascii="Arial" w:cs="Arial" w:eastAsia="Arial" w:hAnsi="Arial"/>
                <w:sz w:val="18"/>
                <w:szCs w:val="18"/>
                <w:color w:val="auto"/>
              </w:rPr>
              <w:t>Gross (loss) profit</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(28,141)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51,075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23,753</w:t>
            </w:r>
          </w:p>
        </w:tc>
      </w:tr>
      <w:tr>
        <w:trPr>
          <w:trHeight w:val="27"/>
        </w:trPr>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Commissions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18,066</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w w:val="97"/>
              </w:rPr>
              <w:t>General and administrative expenses</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107,052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107,142</w:t>
            </w:r>
          </w:p>
        </w:tc>
      </w:tr>
      <w:tr>
        <w:trPr>
          <w:trHeight w:val="27"/>
        </w:trPr>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6,627</w:t>
            </w:r>
          </w:p>
        </w:tc>
      </w:tr>
      <w:tr>
        <w:trPr>
          <w:trHeight w:val="237"/>
        </w:trPr>
        <w:tc>
          <w:tcPr>
            <w:tcW w:w="294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(28,141)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(80,670)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(108,082)</w:t>
            </w:r>
          </w:p>
        </w:tc>
      </w:tr>
      <w:tr>
        <w:trPr>
          <w:trHeight w:val="27"/>
        </w:trPr>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income of unconsolidated</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entities</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(2,909)</w:t>
            </w:r>
          </w:p>
        </w:tc>
      </w:tr>
      <w:tr>
        <w:trPr>
          <w:trHeight w:val="27"/>
        </w:trPr>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(46,616)</w:t>
            </w:r>
          </w:p>
        </w:tc>
      </w:tr>
      <w:tr>
        <w:trPr>
          <w:trHeight w:val="237"/>
        </w:trPr>
        <w:tc>
          <w:tcPr>
            <w:tcW w:w="294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(71,283)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(157,235)</w:t>
            </w:r>
          </w:p>
        </w:tc>
      </w:tr>
      <w:tr>
        <w:trPr>
          <w:trHeight w:val="27"/>
        </w:trPr>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provision for income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570</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Equity in loss of subsidiaries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(104,782)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104,782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2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continuing</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7"/>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(105,293)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104,782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(157,805)</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(3,878)</w:t>
            </w:r>
          </w:p>
        </w:tc>
      </w:tr>
      <w:tr>
        <w:trPr>
          <w:trHeight w:val="27"/>
        </w:trPr>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loss of subsidiaries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29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(161,683)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(109,163)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108,660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(161,683)</w:t>
            </w:r>
          </w:p>
        </w:tc>
      </w:tr>
      <w:tr>
        <w:trPr>
          <w:trHeight w:val="27"/>
        </w:trPr>
        <w:tc>
          <w:tcPr>
            <w:tcW w:w="2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440"/>
          </w:cols>
          <w:pgMar w:left="240" w:top="121" w:right="1219" w:bottom="0" w:gutter="0" w:footer="0" w:header="0"/>
        </w:sectPr>
      </w:pPr>
    </w:p>
    <w:p>
      <w:pPr>
        <w:spacing w:after="0" w:line="24"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0440"/>
          </w:cols>
          <w:pgMar w:left="240" w:top="121" w:right="1219" w:bottom="0" w:gutter="0" w:footer="0" w:header="0"/>
          <w:type w:val="continuous"/>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Beazer Homes USA, Inc.</w:t>
      </w:r>
    </w:p>
    <w:p>
      <w:pPr>
        <w:spacing w:after="0" w:line="17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Unaudited Consolidating Statements of Cash Flow Information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53"/>
              <w:spacing w:after="0"/>
              <w:rPr>
                <w:sz w:val="20"/>
                <w:szCs w:val="20"/>
                <w:color w:val="auto"/>
              </w:rPr>
            </w:pPr>
            <w:r>
              <w:rPr>
                <w:rFonts w:ascii="Arial" w:cs="Arial" w:eastAsia="Arial" w:hAnsi="Arial"/>
                <w:sz w:val="14"/>
                <w:szCs w:val="14"/>
                <w:color w:val="auto"/>
                <w:w w:val="92"/>
              </w:rPr>
              <w:t>Consolidated</w:t>
            </w:r>
          </w:p>
        </w:tc>
      </w:tr>
      <w:tr>
        <w:trPr>
          <w:trHeight w:val="149"/>
        </w:trPr>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Beazer Homes</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Guarantor</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Non-Guarantor</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Consolidating</w:t>
            </w:r>
          </w:p>
        </w:tc>
        <w:tc>
          <w:tcPr>
            <w:tcW w:w="160" w:type="dxa"/>
            <w:vAlign w:val="bottom"/>
          </w:tcPr>
          <w:p>
            <w:pPr>
              <w:spacing w:after="0"/>
              <w:rPr>
                <w:sz w:val="12"/>
                <w:szCs w:val="12"/>
                <w:color w:val="auto"/>
              </w:rPr>
            </w:pPr>
          </w:p>
        </w:tc>
        <w:tc>
          <w:tcPr>
            <w:tcW w:w="110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90"/>
              </w:rPr>
              <w:t>Beazer Homes</w:t>
            </w:r>
          </w:p>
        </w:tc>
      </w:tr>
      <w:tr>
        <w:trPr>
          <w:trHeight w:val="188"/>
        </w:trPr>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USA, Inc.</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Subsidiaries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Subsidiaries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Adjustments</w:t>
            </w:r>
          </w:p>
        </w:tc>
        <w:tc>
          <w:tcPr>
            <w:tcW w:w="160" w:type="dxa"/>
            <w:vAlign w:val="bottom"/>
          </w:tcPr>
          <w:p>
            <w:pPr>
              <w:spacing w:after="0"/>
              <w:rPr>
                <w:sz w:val="16"/>
                <w:szCs w:val="16"/>
                <w:color w:val="auto"/>
              </w:rPr>
            </w:pPr>
          </w:p>
        </w:tc>
        <w:tc>
          <w:tcPr>
            <w:tcW w:w="1100" w:type="dxa"/>
            <w:vAlign w:val="bottom"/>
          </w:tcPr>
          <w:p>
            <w:pPr>
              <w:jc w:val="center"/>
              <w:ind w:right="73"/>
              <w:spacing w:after="0"/>
              <w:rPr>
                <w:sz w:val="20"/>
                <w:szCs w:val="20"/>
                <w:color w:val="auto"/>
              </w:rPr>
            </w:pPr>
            <w:r>
              <w:rPr>
                <w:rFonts w:ascii="Arial" w:cs="Arial" w:eastAsia="Arial" w:hAnsi="Arial"/>
                <w:sz w:val="14"/>
                <w:szCs w:val="14"/>
                <w:color w:val="auto"/>
                <w:w w:val="97"/>
              </w:rPr>
              <w:t>USA, Inc.</w:t>
            </w: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Nine Months Ended June 30, 2012</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(109,339)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2,225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(106,412)</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(15,117)</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unconsolidated entities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Return of capital from unconsolidated entities</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440</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Increases in 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w:t>
            </w: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Decreases in restricted cash</w:t>
            </w:r>
          </w:p>
        </w:tc>
        <w:tc>
          <w:tcPr>
            <w:tcW w:w="1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5,878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6,955</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5,233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(11,476)</w:t>
            </w:r>
          </w:p>
        </w:tc>
      </w:tr>
      <w:tr>
        <w:trPr>
          <w:trHeight w:val="223"/>
        </w:trPr>
        <w:tc>
          <w:tcPr>
            <w:tcW w:w="49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41"/>
        </w:trPr>
        <w:tc>
          <w:tcPr>
            <w:tcW w:w="4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debt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(3,369)</w:t>
            </w: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Settlement of unconsolidated entity debt obligations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(15,862)</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Equity issuance costs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(1,296)</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redeemed</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Excess tax benefit from equity-based compensation</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Advances to/from subsidiaries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11,527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(20,899)</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(135,098)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(138,787)</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360,723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10,488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370,403</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225,625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6,622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231,616</w:t>
            </w:r>
          </w:p>
        </w:tc>
      </w:tr>
      <w:tr>
        <w:trPr>
          <w:trHeight w:val="27"/>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7"/>
        </w:trPr>
        <w:tc>
          <w:tcPr>
            <w:tcW w:w="4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53"/>
              <w:spacing w:after="0" w:line="137" w:lineRule="exact"/>
              <w:rPr>
                <w:sz w:val="20"/>
                <w:szCs w:val="20"/>
                <w:color w:val="auto"/>
              </w:rPr>
            </w:pPr>
            <w:r>
              <w:rPr>
                <w:rFonts w:ascii="Arial" w:cs="Arial" w:eastAsia="Arial" w:hAnsi="Arial"/>
                <w:sz w:val="14"/>
                <w:szCs w:val="14"/>
                <w:color w:val="auto"/>
                <w:w w:val="92"/>
              </w:rPr>
              <w:t>Consolidated</w:t>
            </w:r>
          </w:p>
        </w:tc>
      </w:tr>
      <w:tr>
        <w:trPr>
          <w:trHeight w:val="149"/>
        </w:trPr>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Beazer Homes</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Guarantor</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Non-Guarantor</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Consolidating</w:t>
            </w:r>
          </w:p>
        </w:tc>
        <w:tc>
          <w:tcPr>
            <w:tcW w:w="160" w:type="dxa"/>
            <w:vAlign w:val="bottom"/>
          </w:tcPr>
          <w:p>
            <w:pPr>
              <w:spacing w:after="0"/>
              <w:rPr>
                <w:sz w:val="12"/>
                <w:szCs w:val="12"/>
                <w:color w:val="auto"/>
              </w:rPr>
            </w:pPr>
          </w:p>
        </w:tc>
        <w:tc>
          <w:tcPr>
            <w:tcW w:w="110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90"/>
              </w:rPr>
              <w:t>Beazer Homes</w:t>
            </w:r>
          </w:p>
        </w:tc>
      </w:tr>
      <w:tr>
        <w:trPr>
          <w:trHeight w:val="188"/>
        </w:trPr>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USA, Inc.</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Subsidiaries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Subsidiaries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Adjustments</w:t>
            </w:r>
          </w:p>
        </w:tc>
        <w:tc>
          <w:tcPr>
            <w:tcW w:w="160" w:type="dxa"/>
            <w:vAlign w:val="bottom"/>
          </w:tcPr>
          <w:p>
            <w:pPr>
              <w:spacing w:after="0"/>
              <w:rPr>
                <w:sz w:val="16"/>
                <w:szCs w:val="16"/>
                <w:color w:val="auto"/>
              </w:rPr>
            </w:pPr>
          </w:p>
        </w:tc>
        <w:tc>
          <w:tcPr>
            <w:tcW w:w="1100" w:type="dxa"/>
            <w:vAlign w:val="bottom"/>
          </w:tcPr>
          <w:p>
            <w:pPr>
              <w:jc w:val="center"/>
              <w:ind w:right="73"/>
              <w:spacing w:after="0"/>
              <w:rPr>
                <w:sz w:val="20"/>
                <w:szCs w:val="20"/>
                <w:color w:val="auto"/>
              </w:rPr>
            </w:pPr>
            <w:r>
              <w:rPr>
                <w:rFonts w:ascii="Arial" w:cs="Arial" w:eastAsia="Arial" w:hAnsi="Arial"/>
                <w:sz w:val="14"/>
                <w:szCs w:val="14"/>
                <w:color w:val="auto"/>
                <w:w w:val="97"/>
              </w:rPr>
              <w:t>USA, Inc.</w:t>
            </w: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Nine Months Ended June 30, 2011</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(33,549)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(245,010)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(277,618)</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(12,134)</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unconsolidated entities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Increases in restricted cash</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(250,526)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(250,074)</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Decreases in restricted cash</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4,950</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(244,987)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(14,034)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(259,021)</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Repayment of debt</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(212,841)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(213,755)</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new debt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246,387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246,387</w:t>
            </w: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Proceeds from issuance of cash secured loan</w:t>
            </w:r>
          </w:p>
        </w:tc>
        <w:tc>
          <w:tcPr>
            <w:tcW w:w="1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247,368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247,368</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(5,130)</w:t>
            </w: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Common stock redeemed</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 from equity-based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Advances to/from subsidiaries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(249,403)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251,939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25,674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251,025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274,163</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(252,862)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(262,476)</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530,847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537,121</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277,985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274,645</w:t>
            </w:r>
          </w:p>
        </w:tc>
      </w:tr>
      <w:tr>
        <w:trPr>
          <w:trHeight w:val="27"/>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Discontinued Operations</w:t>
      </w:r>
    </w:p>
    <w:p>
      <w:pPr>
        <w:spacing w:after="0" w:line="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continually review each of our markets in order to refine our overall investment strategy and to optimize capital and resource allocations in an effort to enhance our financial position and to increase shareholder value. This review entails an evaluation of both external market factors and our position in each market and over time has resulted in the decision to discontinue certain of our homebuilding operations. During the third quarter of fiscal 2011, we decided to discontinue our homebuilding operations in Northwest Florida which has historically been reported in our Southeast segment.</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classified the results of operations of our discontinued operations in the accompanying unaudited condensed consolidated statements of operations for all periods presented. There were no material assets or liabilities related to our discontinued operations as of June 30, 2012 or September 30, 2011. Discontinued operations were not segregated in the unaudited condensed consolidated statements of cash flows. Therefore, amounts for certain captions in the unaudited condensed consolidated statements of cash flows will not agree with the respective data in the unaudited condensed consolidated statements of operations. The results of our discontinued operations in the unaudited condensed Consolidated Statements of Operations for the three and nine months ended June 30, 2012 and 2011 were as follows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188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24"/>
                <w:szCs w:val="24"/>
                <w:color w:val="auto"/>
              </w:rPr>
            </w:pPr>
          </w:p>
        </w:tc>
      </w:tr>
      <w:tr>
        <w:trPr>
          <w:trHeight w:val="264"/>
        </w:trPr>
        <w:tc>
          <w:tcPr>
            <w:tcW w:w="63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2011</w:t>
            </w:r>
          </w:p>
        </w:tc>
        <w:tc>
          <w:tcPr>
            <w:tcW w:w="5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2011</w:t>
            </w: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2,207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4,717</w:t>
            </w:r>
          </w:p>
        </w:tc>
        <w:tc>
          <w:tcPr>
            <w:tcW w:w="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5,681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14,627</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Home construction and land sales expenses</w:t>
            </w:r>
          </w:p>
        </w:tc>
        <w:tc>
          <w:tcPr>
            <w:tcW w:w="2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b w:val="1"/>
                <w:bCs w:val="1"/>
                <w:color w:val="auto"/>
              </w:rPr>
              <w:t>2,509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4,002</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b w:val="1"/>
                <w:bCs w:val="1"/>
                <w:color w:val="auto"/>
              </w:rPr>
              <w:t>5,444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11,236</w:t>
            </w: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impairments and lot option abandonments</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545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2,494</w:t>
            </w:r>
          </w:p>
        </w:tc>
        <w:tc>
          <w:tcPr>
            <w:tcW w:w="5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579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2,814</w:t>
            </w: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Gross (loss) profit</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(847)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(1,779)</w:t>
            </w:r>
          </w:p>
        </w:tc>
        <w:tc>
          <w:tcPr>
            <w:tcW w:w="5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577</w:t>
            </w: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Commissions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c>
          <w:tcPr>
            <w:tcW w:w="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901</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General and administrative expenses (a)</w:t>
            </w:r>
          </w:p>
        </w:tc>
        <w:tc>
          <w:tcPr>
            <w:tcW w:w="2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b w:val="1"/>
                <w:bCs w:val="1"/>
                <w:color w:val="auto"/>
              </w:rPr>
              <w:t>919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908</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b w:val="1"/>
                <w:bCs w:val="1"/>
                <w:color w:val="auto"/>
              </w:rPr>
              <w:t>3,636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2,652</w:t>
            </w: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w:t>
            </w:r>
          </w:p>
        </w:tc>
        <w:tc>
          <w:tcPr>
            <w:tcW w:w="5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w:t>
            </w: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(1,822)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(3,198)</w:t>
            </w:r>
          </w:p>
        </w:tc>
        <w:tc>
          <w:tcPr>
            <w:tcW w:w="5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(4,230)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(3,382)</w:t>
            </w: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loss of unconsolidated entities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Other (loss) income, net</w:t>
            </w:r>
          </w:p>
        </w:tc>
        <w:tc>
          <w:tcPr>
            <w:tcW w:w="2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26</w:t>
            </w:r>
          </w:p>
        </w:tc>
      </w:tr>
      <w:tr>
        <w:trPr>
          <w:trHeight w:val="27"/>
        </w:trPr>
        <w:tc>
          <w:tcPr>
            <w:tcW w:w="6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(3,869)</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9</w:t>
            </w:r>
          </w:p>
        </w:tc>
      </w:tr>
      <w:tr>
        <w:trPr>
          <w:trHeight w:val="27"/>
        </w:trPr>
        <w:tc>
          <w:tcPr>
            <w:tcW w:w="6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(3,878)</w:t>
            </w:r>
          </w:p>
        </w:tc>
      </w:tr>
      <w:tr>
        <w:trPr>
          <w:trHeight w:val="20"/>
        </w:trPr>
        <w:tc>
          <w:tcPr>
            <w:tcW w:w="6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660" w:right="32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nine months ended June 30, 2012, includes approximately $2.9 million of expense for legal fees and potential liability related to outstanding matters in Denver, Colorado.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July 2012, in an effort to further strengthen our balance sheet and to better participate in the emerging housing recovery, we completed underwritten public offerings of 22 million shares of Beazer common stock at $2.90 per share and 4.6 million 7.50% tangible equity units and a private placement of $300 million of 6.625% senior secured notes. Net of underwriting discounts and estimated legal, accounting and other offering expenses, we expect net proceeds of approximately $466 million (without giving effect to any proceeds that may in the future be received by the Company upon the underwriters' exercise of the option to purchase up to an additional 3.3 million shares of common stock to cover over-allotments). Immediately after the common stock transaction, the Company had approximately 123 million shares of common stock outstanding.</w:t>
      </w:r>
    </w:p>
    <w:p>
      <w:pPr>
        <w:spacing w:after="0" w:line="138"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Concurrently with the debt offering, we called for redemption of all $250 million outstanding of our 12% senior secured notes due 2017 and repaid $20 million of our outstanding cash secured term loan. Net cash used for these redemptions, including payment of accrued interest and the contractual call premium is approximately $300 million. We intend to use the remainder of the proceeds from these offerings to fund an expansion in our new home community count and for general corporate purposes, including the repayment of outstanding indebtedness. We expect our annualized interest expense to decrease by approximately $15 million related to the above refinancing of our 12% senior secured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380"/>
          </w:cols>
          <w:pgMar w:left="240" w:top="121" w:right="27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Executive Overview and Outlook</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Over the past four quarters, we have demonstrated significant improvement in new home orders, home closings and backlog, recognizing our fourth consecutive quarter with year-over-year increases in such metrics. We believe these improvements have arisen both as a result of improving market conditions for new home sales, and due to the business improvement and operational strategies we have employed. In particular, we have placed significant emphasis on increasing sales per community per month and on broadening the base of communities contributing to sales. Over the past year, our trailing four quarter sales per community per month has increased from approximately 1.7 at June 30, 2011 to 2.2 at June 30, 2012. At the same time, the proportion of our communities generating fewer than 3 sales in a quarter has declined from 27% in the fiscal third quarter of 2011 to 10% in the third quarter of fiscal 2012.</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There is much reported evidence of strengthening conditions in the housing market, from increases in new home sales, to increases in existing home sales to improvements in home prices in many markets. At the same time, new home sales activity remains at very low levels despite historic levels of housing affordability, low mortgage interest rates and improving job growth. Consistent with expectations of many market participants and analysts, we believe that national housing starts will likely increase markedly over the next several years. In particular we expect improvements in housing start activity to be robust in Florida, California, Texas, North Carolina and Arizona.</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While pursuing our business improvement and operational strategies, we have employed a very cautious land acquisition strategy to ensure operational resources have been focused on existing community performance. Given the success of our efforts and the improvement in the overall housing market, we believe now is an appropriate time to pursue growth in new communities more aggressively. In particular, we believe we can generate attractive returns on incremental capital deployed into the markets most likely to grow significantly in the next several years, which will assist us in accelerating a return to profitability. Over the past year, we have taken steps to broaden and deepen our local management teams in these markets, and we have compiled a significant pipeline of prospective new community transactions in all of our markets.</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 that end and subsequent to June 30, 2012, we engaged in several capital transactions designed to further strengthen our balance sheet and position us to better participate in the emerging housing recovery. We completed underwritten public offerings of 22 million shares of Beazer common stock at $2.90 per share and 4.6 million 7.50% tangible equity units and a private placement of $300 million of 6.625% senior secured notes generating net proceeds of approximately $466 million. A portion of these proceeds was used to fund the redemption of our $250 million 12% senior secured notes due 2017, repay $20 million of our cash secured term loan and the remaining funds will be used to fund an expansion in our new home community count and for general corporate purposes, including the repayment of outstanding indebtedness.</w:t>
      </w:r>
    </w:p>
    <w:p>
      <w:pPr>
        <w:spacing w:after="0" w:line="15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 addition, while we believe we possess sufficient liquidity to participate in a housing recovery, we are mindful of potential short-term, or seasonal, requirements for enhanced liquidity that may arise. As such, we have negotiated a commitment letter with four financial institutions for a proposed $150 million secured revolving credit agreement, which would replace our existing credit facility.</w:t>
      </w:r>
    </w:p>
    <w:p>
      <w:pPr>
        <w:spacing w:after="0" w:line="14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following pro forma information is derived from our unaudited condensed consolidated balance sheet as of June 30, 2012 and gives retroactive effect to the estimated completion of the aforementioned offerings and debt redemption, but does not give effect to other events that occurred since June 30, 2012 or finalization of transaction expenses and thus may not be indicative of our current financial condition.</w:t>
      </w:r>
    </w:p>
    <w:p>
      <w:pPr>
        <w:spacing w:after="0" w:line="299"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related to July</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Actual as of</w:t>
            </w:r>
          </w:p>
        </w:tc>
        <w:tc>
          <w:tcPr>
            <w:tcW w:w="14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2012 Capital</w:t>
            </w: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w w:val="95"/>
              </w:rPr>
              <w:t>Pro forma as of</w:t>
            </w:r>
          </w:p>
        </w:tc>
      </w:tr>
      <w:tr>
        <w:trPr>
          <w:trHeight w:val="234"/>
        </w:trPr>
        <w:tc>
          <w:tcPr>
            <w:tcW w:w="370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1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June 30, 2012</w:t>
            </w:r>
          </w:p>
        </w:tc>
        <w:tc>
          <w:tcPr>
            <w:tcW w:w="140" w:type="dxa"/>
            <w:vAlign w:val="bottom"/>
          </w:tcPr>
          <w:p>
            <w:pPr>
              <w:spacing w:after="0"/>
              <w:rPr>
                <w:sz w:val="20"/>
                <w:szCs w:val="20"/>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Transactions</w:t>
            </w:r>
          </w:p>
        </w:tc>
        <w:tc>
          <w:tcPr>
            <w:tcW w:w="14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June 30, 2012</w:t>
            </w:r>
          </w:p>
        </w:tc>
      </w:tr>
      <w:tr>
        <w:trPr>
          <w:trHeight w:val="27"/>
        </w:trPr>
        <w:tc>
          <w:tcPr>
            <w:tcW w:w="3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18"/>
        </w:trPr>
        <w:tc>
          <w:tcPr>
            <w:tcW w:w="3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231,616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185,960</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417,576</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Total debt (net of discounts)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1,442,407</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70,452</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1,512,859</w:t>
            </w:r>
          </w:p>
        </w:tc>
      </w:tr>
      <w:tr>
        <w:trPr>
          <w:trHeight w:val="27"/>
        </w:trPr>
        <w:tc>
          <w:tcPr>
            <w:tcW w:w="3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179,075</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106,100</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285,175</w:t>
            </w:r>
          </w:p>
        </w:tc>
      </w:tr>
      <w:tr>
        <w:trPr>
          <w:trHeight w:val="27"/>
        </w:trPr>
        <w:tc>
          <w:tcPr>
            <w:tcW w:w="37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visibility into the economic conditions for fiscal 2013 is limited; however, we believe we will continue to benefit from the current increased traffic trends, projected population growth and increases in housing starts in the coming years. In the meantime, we are taking the steps necessary to drive improvement in our homebuilding operations, while maintaining an efficient cost structure, looking for new opportunities to generate profits and investing for future growth, all with the intention to accelerate our return to profitability.</w:t>
      </w:r>
    </w:p>
    <w:p>
      <w:pPr>
        <w:spacing w:after="0" w:line="304"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b w:val="1"/>
          <w:bCs w:val="1"/>
          <w:color w:val="auto"/>
        </w:rPr>
        <w:t xml:space="preserve">Critical Accounting Policies: </w:t>
      </w:r>
      <w:r>
        <w:rPr>
          <w:rFonts w:ascii="Arial" w:cs="Arial" w:eastAsia="Arial" w:hAnsi="Arial"/>
          <w:sz w:val="16"/>
          <w:szCs w:val="16"/>
          <w:color w:val="auto"/>
        </w:rPr>
        <w:t>Some of our critical accounting policies require the use of judgment in their application or require estimates of inherently</w:t>
      </w:r>
      <w:r>
        <w:rPr>
          <w:rFonts w:ascii="Arial" w:cs="Arial" w:eastAsia="Arial" w:hAnsi="Arial"/>
          <w:sz w:val="16"/>
          <w:szCs w:val="16"/>
          <w:b w:val="1"/>
          <w:bCs w:val="1"/>
          <w:color w:val="auto"/>
        </w:rPr>
        <w:t xml:space="preserve"> </w:t>
      </w:r>
      <w:r>
        <w:rPr>
          <w:rFonts w:ascii="Arial" w:cs="Arial" w:eastAsia="Arial" w:hAnsi="Arial"/>
          <w:sz w:val="16"/>
          <w:szCs w:val="16"/>
          <w:color w:val="auto"/>
        </w:rPr>
        <w:t>uncertain matters. Although our accounting policies are in compliance with accounting principles generally accepted in the United States of America, a change in the facts and circumstances of the underlying transactions could significantly change the application of the accounting policies and the resulting financial statement impact. As disclosed in our 2011 Annual Report, our most critical accounting policies relate to inventory valuation (inventory held for development and land held for sale), homebuilding revenues and costs, warranty reserves, investments in unconsolidated entities and income tax valuation allowances. Since September 30, 2011, there have been no significant changes to those critical accounting policies.</w:t>
      </w:r>
    </w:p>
    <w:p>
      <w:pPr>
        <w:spacing w:after="0" w:line="102"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 xml:space="preserve">Seasonal and Quarterly Variability: </w:t>
      </w:r>
      <w:r>
        <w:rPr>
          <w:rFonts w:ascii="Arial" w:cs="Arial" w:eastAsia="Arial" w:hAnsi="Arial"/>
          <w:sz w:val="18"/>
          <w:szCs w:val="18"/>
          <w:color w:val="auto"/>
        </w:rPr>
        <w:t>Our homebuilding operating cycle generally reflects escalating new order activity in the second and third fiscal</w:t>
      </w:r>
      <w:r>
        <w:rPr>
          <w:rFonts w:ascii="Arial" w:cs="Arial" w:eastAsia="Arial" w:hAnsi="Arial"/>
          <w:sz w:val="18"/>
          <w:szCs w:val="18"/>
          <w:b w:val="1"/>
          <w:bCs w:val="1"/>
          <w:color w:val="auto"/>
        </w:rPr>
        <w:t xml:space="preserve"> </w:t>
      </w:r>
      <w:r>
        <w:rPr>
          <w:rFonts w:ascii="Arial" w:cs="Arial" w:eastAsia="Arial" w:hAnsi="Arial"/>
          <w:sz w:val="18"/>
          <w:szCs w:val="18"/>
          <w:color w:val="auto"/>
        </w:rPr>
        <w:t>quarters and increased closings in the third and fourth fiscal quarters.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40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Nine Months Ended</w:t>
            </w:r>
          </w:p>
        </w:tc>
      </w:tr>
      <w:tr>
        <w:trPr>
          <w:trHeight w:val="270"/>
        </w:trPr>
        <w:tc>
          <w:tcPr>
            <w:tcW w:w="5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20" w:type="dxa"/>
            <w:vAlign w:val="bottom"/>
          </w:tcPr>
          <w:p>
            <w:pPr>
              <w:spacing w:after="0"/>
              <w:rPr>
                <w:sz w:val="23"/>
                <w:szCs w:val="23"/>
                <w:color w:val="auto"/>
              </w:rPr>
            </w:pPr>
          </w:p>
        </w:tc>
      </w:tr>
      <w:tr>
        <w:trPr>
          <w:trHeight w:val="33"/>
        </w:trPr>
        <w:tc>
          <w:tcPr>
            <w:tcW w:w="5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5460" w:type="dxa"/>
            <w:vAlign w:val="bottom"/>
          </w:tcPr>
          <w:p>
            <w:pPr>
              <w:ind w:left="40"/>
              <w:spacing w:after="0"/>
              <w:rPr>
                <w:sz w:val="20"/>
                <w:szCs w:val="20"/>
                <w:color w:val="auto"/>
              </w:rPr>
            </w:pPr>
            <w:r>
              <w:rPr>
                <w:rFonts w:ascii="Arial" w:cs="Arial" w:eastAsia="Arial" w:hAnsi="Arial"/>
                <w:sz w:val="16"/>
                <w:szCs w:val="16"/>
                <w:color w:val="auto"/>
              </w:rPr>
              <w:t>($ in thousands)</w:t>
            </w:r>
          </w:p>
        </w:tc>
        <w:tc>
          <w:tcPr>
            <w:tcW w:w="360" w:type="dxa"/>
            <w:vAlign w:val="bottom"/>
          </w:tcPr>
          <w:p>
            <w:pPr>
              <w:spacing w:after="0"/>
              <w:rPr>
                <w:sz w:val="20"/>
                <w:szCs w:val="20"/>
                <w:color w:val="auto"/>
              </w:rPr>
            </w:pPr>
          </w:p>
        </w:tc>
        <w:tc>
          <w:tcPr>
            <w:tcW w:w="11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color w:val="auto"/>
              </w:rPr>
              <w:t>2011</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99"/>
              <w:spacing w:after="0"/>
              <w:rPr>
                <w:sz w:val="20"/>
                <w:szCs w:val="20"/>
                <w:color w:val="auto"/>
              </w:rPr>
            </w:pPr>
            <w:r>
              <w:rPr>
                <w:rFonts w:ascii="Arial" w:cs="Arial" w:eastAsia="Arial" w:hAnsi="Arial"/>
                <w:sz w:val="16"/>
                <w:szCs w:val="16"/>
                <w:color w:val="auto"/>
              </w:rPr>
              <w:t>2011</w:t>
            </w:r>
          </w:p>
        </w:tc>
      </w:tr>
      <w:tr>
        <w:trPr>
          <w:trHeight w:val="33"/>
        </w:trPr>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6"/>
                <w:szCs w:val="16"/>
                <w:color w:val="auto"/>
              </w:rPr>
              <w:t>Homebuilding</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252,071</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168,444</w:t>
            </w:r>
          </w:p>
        </w:tc>
        <w:tc>
          <w:tcPr>
            <w:tcW w:w="34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628,540</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398,887</w:t>
            </w:r>
          </w:p>
        </w:tc>
      </w:tr>
      <w:tr>
        <w:trPr>
          <w:trHeight w:val="33"/>
        </w:trPr>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sales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2,484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4,385</w:t>
            </w:r>
          </w:p>
        </w:tc>
        <w:tc>
          <w:tcPr>
            <w:tcW w:w="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6,206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8,610</w:t>
            </w:r>
          </w:p>
        </w:tc>
      </w:tr>
      <w:tr>
        <w:trPr>
          <w:trHeight w:val="284"/>
        </w:trPr>
        <w:tc>
          <w:tcPr>
            <w:tcW w:w="54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254,555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172,829</w:t>
            </w:r>
          </w:p>
        </w:tc>
        <w:tc>
          <w:tcPr>
            <w:tcW w:w="34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634,746</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407,497</w:t>
            </w:r>
          </w:p>
        </w:tc>
      </w:tr>
      <w:tr>
        <w:trPr>
          <w:trHeight w:val="237"/>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profit:</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6"/>
                <w:szCs w:val="16"/>
                <w:color w:val="auto"/>
              </w:rPr>
              <w:t>Homebuilding</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20,656</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11,877</w:t>
            </w:r>
          </w:p>
        </w:tc>
        <w:tc>
          <w:tcPr>
            <w:tcW w:w="34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61,475</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20,127</w:t>
            </w:r>
          </w:p>
        </w:tc>
      </w:tr>
      <w:tr>
        <w:trPr>
          <w:trHeight w:val="33"/>
        </w:trPr>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sales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1,958</w:t>
            </w:r>
          </w:p>
        </w:tc>
        <w:tc>
          <w:tcPr>
            <w:tcW w:w="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2,215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3,626</w:t>
            </w:r>
          </w:p>
        </w:tc>
      </w:tr>
      <w:tr>
        <w:trPr>
          <w:trHeight w:val="284"/>
        </w:trPr>
        <w:tc>
          <w:tcPr>
            <w:tcW w:w="54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21,231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13,835</w:t>
            </w:r>
          </w:p>
        </w:tc>
        <w:tc>
          <w:tcPr>
            <w:tcW w:w="34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63,690</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23,753</w:t>
            </w:r>
          </w:p>
        </w:tc>
      </w:tr>
      <w:tr>
        <w:trPr>
          <w:trHeight w:val="237"/>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margin:</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6"/>
                <w:szCs w:val="16"/>
                <w:color w:val="auto"/>
              </w:rPr>
              <w:t>Homebuilding</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8.2%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33"/>
        </w:trPr>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sales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w:t>
            </w:r>
          </w:p>
        </w:tc>
      </w:tr>
      <w:tr>
        <w:trPr>
          <w:trHeight w:val="237"/>
        </w:trPr>
        <w:tc>
          <w:tcPr>
            <w:tcW w:w="5460" w:type="dxa"/>
            <w:vAlign w:val="bottom"/>
          </w:tcPr>
          <w:p>
            <w:pPr>
              <w:ind w:left="280"/>
              <w:spacing w:after="0"/>
              <w:rPr>
                <w:sz w:val="20"/>
                <w:szCs w:val="20"/>
                <w:color w:val="auto"/>
              </w:rPr>
            </w:pPr>
            <w:r>
              <w:rPr>
                <w:rFonts w:ascii="Arial" w:cs="Arial" w:eastAsia="Arial" w:hAnsi="Arial"/>
                <w:sz w:val="16"/>
                <w:szCs w:val="16"/>
                <w:color w:val="auto"/>
              </w:rPr>
              <w:t>Total</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33"/>
        </w:trPr>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Commissions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10,776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7,843</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27,522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18,066</w:t>
            </w:r>
          </w:p>
        </w:tc>
      </w:tr>
      <w:tr>
        <w:trPr>
          <w:trHeight w:val="237"/>
        </w:trPr>
        <w:tc>
          <w:tcPr>
            <w:tcW w:w="5460" w:type="dxa"/>
            <w:vAlign w:val="bottom"/>
          </w:tcPr>
          <w:p>
            <w:pPr>
              <w:ind w:left="40"/>
              <w:spacing w:after="0"/>
              <w:rPr>
                <w:sz w:val="20"/>
                <w:szCs w:val="20"/>
                <w:color w:val="auto"/>
              </w:rPr>
            </w:pPr>
            <w:r>
              <w:rPr>
                <w:rFonts w:ascii="Arial" w:cs="Arial" w:eastAsia="Arial" w:hAnsi="Arial"/>
                <w:sz w:val="16"/>
                <w:szCs w:val="16"/>
                <w:b w:val="1"/>
                <w:bCs w:val="1"/>
                <w:color w:val="auto"/>
              </w:rPr>
              <w:t>General and administrative (G&amp;A) expenses:</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27,867</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38,571</w:t>
            </w:r>
          </w:p>
        </w:tc>
        <w:tc>
          <w:tcPr>
            <w:tcW w:w="34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82,380</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107,142</w:t>
            </w:r>
          </w:p>
        </w:tc>
      </w:tr>
      <w:tr>
        <w:trPr>
          <w:trHeight w:val="33"/>
        </w:trPr>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G&amp;A as a percentage of total revenue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w:t>
            </w:r>
          </w:p>
        </w:tc>
      </w:tr>
      <w:tr>
        <w:trPr>
          <w:trHeight w:val="237"/>
        </w:trPr>
        <w:tc>
          <w:tcPr>
            <w:tcW w:w="5460" w:type="dxa"/>
            <w:vAlign w:val="bottom"/>
          </w:tcPr>
          <w:p>
            <w:pPr>
              <w:ind w:left="40"/>
              <w:spacing w:after="0"/>
              <w:rPr>
                <w:sz w:val="20"/>
                <w:szCs w:val="20"/>
                <w:color w:val="auto"/>
              </w:rPr>
            </w:pPr>
            <w:r>
              <w:rPr>
                <w:rFonts w:ascii="Arial" w:cs="Arial" w:eastAsia="Arial" w:hAnsi="Arial"/>
                <w:sz w:val="16"/>
                <w:szCs w:val="16"/>
                <w:b w:val="1"/>
                <w:bCs w:val="1"/>
                <w:color w:val="auto"/>
              </w:rPr>
              <w:t>Depreciation and amortization</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3,743</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2,660</w:t>
            </w:r>
          </w:p>
        </w:tc>
        <w:tc>
          <w:tcPr>
            <w:tcW w:w="34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9,336</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6,627</w:t>
            </w:r>
          </w:p>
        </w:tc>
      </w:tr>
      <w:tr>
        <w:trPr>
          <w:trHeight w:val="33"/>
        </w:trPr>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Equity in income (loss) of unconsolidated entities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372</w:t>
            </w:r>
          </w:p>
        </w:tc>
      </w:tr>
      <w:tr>
        <w:trPr>
          <w:trHeight w:val="237"/>
        </w:trPr>
        <w:tc>
          <w:tcPr>
            <w:tcW w:w="5460" w:type="dxa"/>
            <w:vAlign w:val="bottom"/>
          </w:tcPr>
          <w:p>
            <w:pPr>
              <w:ind w:left="40"/>
              <w:spacing w:after="0"/>
              <w:rPr>
                <w:sz w:val="20"/>
                <w:szCs w:val="20"/>
                <w:color w:val="auto"/>
              </w:rPr>
            </w:pPr>
            <w:r>
              <w:rPr>
                <w:rFonts w:ascii="Arial" w:cs="Arial" w:eastAsia="Arial" w:hAnsi="Arial"/>
                <w:sz w:val="16"/>
                <w:szCs w:val="16"/>
                <w:b w:val="1"/>
                <w:bCs w:val="1"/>
                <w:color w:val="auto"/>
              </w:rPr>
              <w:t>Gain (loss) on extinguishment of debt</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95</w:t>
            </w:r>
          </w:p>
        </w:tc>
        <w:tc>
          <w:tcPr>
            <w:tcW w:w="34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(2,747)</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(2,909)</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impacting comparability between periods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items impact the comparability of our results of continuing operations between the three and nine months ended June 30, 2012 and 2011:</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inventory impairments and abandonments, warranty recoveries, certain general and administrative costs and gain (loss) on extinguishment of debt.</w:t>
      </w:r>
    </w:p>
    <w:p>
      <w:pPr>
        <w:spacing w:after="0" w:line="16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Inventory Impairments and Abandonments. </w:t>
      </w:r>
      <w:r>
        <w:rPr>
          <w:rFonts w:ascii="Arial" w:cs="Arial" w:eastAsia="Arial" w:hAnsi="Arial"/>
          <w:sz w:val="18"/>
          <w:szCs w:val="18"/>
          <w:color w:val="auto"/>
        </w:rPr>
        <w:t>Gross margins for the three and nine months ended June 30, 2012 were positively impacted by a decrease in non-cash pre-tax inventory impairments and option contract abandonments. During the three and nine months ended June 30, 2012, for certain communities we determined that it was prudent to reduce sales prices or further increase sales incentives in response to factors including the competitive market conditions in those specific submarkets for the product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and locations of these communities. Because the projected cash flows used to evaluate the fair value of inventory are significantly impacted by changes in market conditions including decreased sales prices, the change in sales prices and changes in absorption estimates based on current market conditions and management's assumptions relative to future results led to additional impairments during this period. In future periods, we may determine that it is prudent to reduce sales prices, increase sales incentives or reduce absorption rates in specific communities which may lead to additional impairments, which could be material.</w:t>
      </w:r>
    </w:p>
    <w:p>
      <w:pPr>
        <w:spacing w:after="0" w:line="13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impairments on land held for sale for the three and nine months ended June 30, 2012 and 2011 represent further write downs of certain properties to net realizable value, less estimated costs to sell and are a result of our review of recent comparable transactions.</w:t>
      </w:r>
    </w:p>
    <w:p>
      <w:pPr>
        <w:spacing w:after="0" w:line="116"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In addition, over the past few years, we have determined the proper course of action with respect to a number of communities within each homebuilding segment was to abandon the remaining lots under option and to write-off the deposits securing the option takedowns, as well as pre-acquisition costs. We recorded minimal abandonment charges during the three and nine months ended June 30, 2012 and 2011 related to these decisions.</w:t>
      </w:r>
    </w:p>
    <w:p>
      <w:pPr>
        <w:spacing w:after="0" w:line="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set forth, by reportable homebuilding segment, the inventory impairments and lot option abandonment charges recorded for the three and nine months ended June 30, 2012 and 2011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160" w:type="dxa"/>
            <w:vAlign w:val="bottom"/>
            <w:gridSpan w:val="4"/>
          </w:tcPr>
          <w:p>
            <w:pPr>
              <w:jc w:val="right"/>
              <w:ind w:right="193"/>
              <w:spacing w:after="0"/>
              <w:rPr>
                <w:sz w:val="20"/>
                <w:szCs w:val="20"/>
                <w:color w:val="auto"/>
              </w:rPr>
            </w:pPr>
            <w:r>
              <w:rPr>
                <w:rFonts w:ascii="Arial" w:cs="Arial" w:eastAsia="Arial" w:hAnsi="Arial"/>
                <w:sz w:val="14"/>
                <w:szCs w:val="14"/>
                <w:b w:val="1"/>
                <w:bCs w:val="1"/>
                <w:color w:val="auto"/>
                <w:w w:val="97"/>
              </w:rPr>
              <w:t>Nine Months Ended June 30,</w:t>
            </w:r>
          </w:p>
        </w:tc>
      </w:tr>
      <w:tr>
        <w:trPr>
          <w:trHeight w:val="264"/>
        </w:trPr>
        <w:tc>
          <w:tcPr>
            <w:tcW w:w="59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color w:val="auto"/>
              </w:rPr>
              <w:t>2011</w:t>
            </w:r>
          </w:p>
        </w:tc>
        <w:tc>
          <w:tcPr>
            <w:tcW w:w="6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color w:val="auto"/>
              </w:rPr>
              <w:t>2011</w:t>
            </w: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1,609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1,603</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3,979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17,621</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East</w:t>
            </w: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b w:val="1"/>
                <w:bCs w:val="1"/>
                <w:color w:val="auto"/>
              </w:rPr>
              <w:t>3,132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1,221</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b w:val="1"/>
                <w:bCs w:val="1"/>
                <w:color w:val="auto"/>
              </w:rPr>
              <w:t>4,383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1,583</w:t>
            </w: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Southeast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3,515</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1,655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3,988</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Unallocated</w:t>
            </w: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b w:val="1"/>
                <w:bCs w:val="1"/>
                <w:color w:val="auto"/>
              </w:rPr>
              <w:t>389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531</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b w:val="1"/>
                <w:bCs w:val="1"/>
                <w:color w:val="auto"/>
              </w:rPr>
              <w:t>475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2,139</w:t>
            </w:r>
          </w:p>
        </w:tc>
      </w:tr>
      <w:tr>
        <w:trPr>
          <w:trHeight w:val="27"/>
        </w:trPr>
        <w:tc>
          <w:tcPr>
            <w:tcW w:w="5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5,819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6,870</w:t>
            </w:r>
          </w:p>
        </w:tc>
        <w:tc>
          <w:tcPr>
            <w:tcW w:w="6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10,492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25,331</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estimated fair value of our impaired inventory at each period end, the number of lots and number of communities impaired in each period are set forth in the table below as follows ($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vMerge w:val="restart"/>
          </w:tcPr>
          <w:p>
            <w:pPr>
              <w:jc w:val="right"/>
              <w:ind w:right="874"/>
              <w:spacing w:after="0"/>
              <w:rPr>
                <w:sz w:val="20"/>
                <w:szCs w:val="20"/>
                <w:color w:val="auto"/>
              </w:rPr>
            </w:pPr>
            <w:r>
              <w:rPr>
                <w:rFonts w:ascii="Arial" w:cs="Arial" w:eastAsia="Arial" w:hAnsi="Arial"/>
                <w:sz w:val="14"/>
                <w:szCs w:val="14"/>
                <w:b w:val="1"/>
                <w:bCs w:val="1"/>
                <w:color w:val="auto"/>
                <w:w w:val="98"/>
              </w:rPr>
              <w:t>Quarter Ended</w:t>
            </w:r>
          </w:p>
        </w:tc>
        <w:tc>
          <w:tcPr>
            <w:tcW w:w="320" w:type="dxa"/>
            <w:vAlign w:val="bottom"/>
          </w:tcPr>
          <w:p>
            <w:pPr>
              <w:spacing w:after="0"/>
              <w:rPr>
                <w:sz w:val="14"/>
                <w:szCs w:val="14"/>
                <w:color w:val="auto"/>
              </w:rPr>
            </w:pPr>
          </w:p>
        </w:tc>
        <w:tc>
          <w:tcPr>
            <w:tcW w:w="2880" w:type="dxa"/>
            <w:vAlign w:val="bottom"/>
            <w:gridSpan w:val="5"/>
          </w:tcPr>
          <w:p>
            <w:pPr>
              <w:ind w:left="200"/>
              <w:spacing w:after="0"/>
              <w:rPr>
                <w:sz w:val="20"/>
                <w:szCs w:val="20"/>
                <w:color w:val="auto"/>
              </w:rPr>
            </w:pPr>
            <w:r>
              <w:rPr>
                <w:rFonts w:ascii="Arial" w:cs="Arial" w:eastAsia="Arial" w:hAnsi="Arial"/>
                <w:sz w:val="14"/>
                <w:szCs w:val="14"/>
                <w:b w:val="1"/>
                <w:bCs w:val="1"/>
                <w:color w:val="auto"/>
              </w:rPr>
              <w:t>Estimated Fair Value of Impaired</w:t>
            </w:r>
          </w:p>
        </w:tc>
        <w:tc>
          <w:tcPr>
            <w:tcW w:w="980" w:type="dxa"/>
            <w:vAlign w:val="bottom"/>
          </w:tcPr>
          <w:p>
            <w:pPr>
              <w:spacing w:after="0"/>
              <w:rPr>
                <w:sz w:val="14"/>
                <w:szCs w:val="14"/>
                <w:color w:val="auto"/>
              </w:rPr>
            </w:pPr>
          </w:p>
        </w:tc>
        <w:tc>
          <w:tcPr>
            <w:tcW w:w="156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Lots Impaired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gridSpan w:val="3"/>
          </w:tcPr>
          <w:p>
            <w:pPr>
              <w:ind w:left="120"/>
              <w:spacing w:after="0"/>
              <w:rPr>
                <w:sz w:val="20"/>
                <w:szCs w:val="20"/>
                <w:color w:val="auto"/>
              </w:rPr>
            </w:pPr>
            <w:r>
              <w:rPr>
                <w:rFonts w:ascii="Arial" w:cs="Arial" w:eastAsia="Arial" w:hAnsi="Arial"/>
                <w:sz w:val="14"/>
                <w:szCs w:val="14"/>
                <w:b w:val="1"/>
                <w:bCs w:val="1"/>
                <w:color w:val="auto"/>
              </w:rPr>
              <w:t>Communities</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94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Inventory at Period End</w:t>
            </w: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Impaired</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ind w:right="519"/>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2012</w:t>
            </w:r>
          </w:p>
        </w:tc>
        <w:tc>
          <w:tcPr>
            <w:tcW w:w="1560" w:type="dxa"/>
            <w:vAlign w:val="bottom"/>
            <w:gridSpan w:val="3"/>
          </w:tcPr>
          <w:p>
            <w:pPr>
              <w:jc w:val="right"/>
              <w:ind w:right="100"/>
              <w:spacing w:after="0"/>
              <w:rPr>
                <w:sz w:val="20"/>
                <w:szCs w:val="20"/>
                <w:color w:val="auto"/>
              </w:rPr>
            </w:pPr>
            <w:r>
              <w:rPr>
                <w:rFonts w:ascii="Arial" w:cs="Arial" w:eastAsia="Arial" w:hAnsi="Arial"/>
                <w:sz w:val="14"/>
                <w:szCs w:val="14"/>
                <w:color w:val="auto"/>
              </w:rPr>
              <w:t>2011</w:t>
            </w:r>
          </w:p>
        </w:tc>
        <w:tc>
          <w:tcPr>
            <w:tcW w:w="15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494"/>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50"/>
        </w:trPr>
        <w:tc>
          <w:tcPr>
            <w:tcW w:w="1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June 30</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11,187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1940" w:type="dxa"/>
            <w:vAlign w:val="bottom"/>
          </w:tcPr>
          <w:p>
            <w:pPr>
              <w:jc w:val="right"/>
              <w:spacing w:after="0"/>
              <w:rPr>
                <w:sz w:val="20"/>
                <w:szCs w:val="20"/>
                <w:color w:val="auto"/>
              </w:rPr>
            </w:pPr>
            <w:r>
              <w:rPr>
                <w:rFonts w:ascii="Arial" w:cs="Arial" w:eastAsia="Arial" w:hAnsi="Arial"/>
                <w:sz w:val="18"/>
                <w:szCs w:val="18"/>
                <w:color w:val="auto"/>
              </w:rPr>
              <w:t>March 31</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b w:val="1"/>
                <w:bCs w:val="1"/>
                <w:color w:val="auto"/>
              </w:rPr>
              <w:t>3,292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29,244</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ind w:right="17"/>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ind w:left="28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31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6,377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51</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58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Total gross profit for the nine months ended June 30, 2012 and 2011 include warranty recoveries of $11.0 million and $1.4 million,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Excluding these warranty items, total gross profit would have been $52.7 million for the nine months ended June 30, 2012 as compared to $22.4 million in the prior year. Also, during the nine months ended June 30, 2012, our gross profit was impacted by bond reimbursements, changes in product liability estimates and improved warranty payment experience. Additional disclosure of these items is included in the discussion of Homebuilding Gross Profit below.</w:t>
      </w:r>
    </w:p>
    <w:p>
      <w:pPr>
        <w:spacing w:after="0" w:line="10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i w:val="1"/>
          <w:iCs w:val="1"/>
          <w:color w:val="auto"/>
        </w:rPr>
        <w:t xml:space="preserve">Commissions. </w:t>
      </w:r>
      <w:r>
        <w:rPr>
          <w:rFonts w:ascii="Arial" w:cs="Arial" w:eastAsia="Arial" w:hAnsi="Arial"/>
          <w:sz w:val="17"/>
          <w:szCs w:val="17"/>
          <w:color w:val="auto"/>
        </w:rPr>
        <w:t>Commission expense includes amounts due to internal sales associates and to external real estate agents, if applicable, related to homes closed</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their period. Commissions as a percentage of homebuilding revenues were decreased slightly in the current fiscal year.</w:t>
      </w:r>
    </w:p>
    <w:p>
      <w:pPr>
        <w:spacing w:after="0" w:line="93"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i w:val="1"/>
          <w:iCs w:val="1"/>
          <w:color w:val="auto"/>
        </w:rPr>
        <w:t xml:space="preserve">General and Administrative Expense Items. </w:t>
      </w:r>
      <w:r>
        <w:rPr>
          <w:rFonts w:ascii="Arial" w:cs="Arial" w:eastAsia="Arial" w:hAnsi="Arial"/>
          <w:sz w:val="16"/>
          <w:szCs w:val="16"/>
          <w:color w:val="auto"/>
        </w:rPr>
        <w:t>The decrease in G&amp;A expense for the three and nine ended June 30, 2012 as compared to the prior year is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related to the impact of prior cost reductions realized related to headcount and office space reductions and management changes.</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Unconsolidated Entity Impairment Charges. </w:t>
      </w:r>
      <w:r>
        <w:rPr>
          <w:rFonts w:ascii="Arial" w:cs="Arial" w:eastAsia="Arial" w:hAnsi="Arial"/>
          <w:sz w:val="18"/>
          <w:szCs w:val="18"/>
          <w:color w:val="auto"/>
        </w:rPr>
        <w:t>As a result of the economic conditions in certain of our markets, we recorded minor impairments in certain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unconsolidated entities for the nine months ended June 30, 2011 (see Note 3 to the unaudited condensed consolidated financial statements where further discussed). If these adverse market conditions worsen, we may have to take further impairments of our investments in these unconsolidated entities that may have a material adverse effect on our financial position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Gain (Loss) on Extinguishment of Debt. </w:t>
      </w:r>
      <w:r>
        <w:rPr>
          <w:rFonts w:ascii="Arial" w:cs="Arial" w:eastAsia="Arial" w:hAnsi="Arial"/>
          <w:sz w:val="18"/>
          <w:szCs w:val="18"/>
          <w:color w:val="auto"/>
        </w:rPr>
        <w:t>During the nine months ended June 30, 2012, we recognized a $2.7 million loss on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extinguishment of debt related to our exchange of a significant portion of our Mandatory Convertible Subordinated Notes and Tangible Equity Units. During the nine months ended June 30, 2011, we redeemed or repurchased in open market transactions an aggregate of $209.5 million of our outstanding Senior Notes for an aggregate purchase price of $210.0 million, plus accrued and unpaid interest as of the purchase date. These transactions resulted in a loss on extinguishment of debt of $2.9 million, net of unamortized discounts and debt issuance costs related to these notes. See Note 7 to the unaudited condensed consolidated financial statements for additional information.</w:t>
      </w:r>
    </w:p>
    <w:p>
      <w:pPr>
        <w:spacing w:after="0" w:line="13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For the three and nine months ended June 30, 2012, other expense, net includes $17.2 million and $55.1 million, respectively, of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not qualified for capitalization. For the three and nine months ended June 30, 2011, other expense, net includes $17.7 million and $55.7 million of interest expense not qualified for capitalization respectively. Other expense for the nine months ended June 30, 2011 is net of the $6.8 million benefit recognized related to our former Chief Executive Officer's settlement with the SEC.</w:t>
      </w:r>
    </w:p>
    <w:p>
      <w:pPr>
        <w:spacing w:after="0" w:line="13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income tax assets and liabilities and related effective tax rate are affected by various factors, the most significant of which is the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 recorded against substantially all of our deferred tax assets. Due to the effect of our valuation allowance adjustments beginning in fiscal 2008, a comparison of our annual effective tax rates must consider the changes in our valuation allowance.</w:t>
      </w:r>
    </w:p>
    <w:p>
      <w:pPr>
        <w:spacing w:after="0" w:line="12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Our overall effective tax rates from continuing operations were -0.38% and 32.63% for the three and nine months ended June 30, 2012, respectively compared to -6.88% and -0.36% for the three and nine months ended June 30, 2011. The change in our effective tax rate for the nine months ended June 30, 2012, was primarily attributable to tax planning which created certainty in the recognition of some of our prior year’s unrecognized tax benefits.</w:t>
      </w:r>
    </w:p>
    <w:p>
      <w:pPr>
        <w:spacing w:after="0" w:line="8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We have classified the results of operations of our title services and our exit markets as discontinued operations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accompanying unaudited condensed consolidated statements of operations for the periods presented. All statement of operations information in the table above and the management discussion and analysis that follow exclude the results of discontinued operations. Discontinued operations were not segregated in the unaudited condensed consolidated statements of cash flows or the unaudited condensed consolidated balance sheets. See Note 15 to the unaudited condensed consolidated financial statements for additional information related to our discontinued operations. Selected operating data related to discontinued operations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192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24"/>
                <w:szCs w:val="24"/>
                <w:color w:val="auto"/>
              </w:rPr>
            </w:pPr>
          </w:p>
        </w:tc>
      </w:tr>
      <w:tr>
        <w:trPr>
          <w:trHeight w:val="264"/>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in thousands)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2011</w:t>
            </w:r>
          </w:p>
        </w:tc>
        <w:tc>
          <w:tcPr>
            <w:tcW w:w="4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2011</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Closings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New Orders, net</w:t>
            </w:r>
          </w:p>
        </w:tc>
        <w:tc>
          <w:tcPr>
            <w:tcW w:w="24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77</w:t>
            </w:r>
          </w:p>
        </w:tc>
      </w:tr>
      <w:tr>
        <w:trPr>
          <w:trHeight w:val="27"/>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Homebuilding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4,717</w:t>
            </w: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4,171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14,186</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Land and lot sale revenues</w:t>
            </w:r>
          </w:p>
        </w:tc>
        <w:tc>
          <w:tcPr>
            <w:tcW w:w="24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b w:val="1"/>
                <w:bCs w:val="1"/>
                <w:color w:val="auto"/>
              </w:rPr>
              <w:t>1,446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b w:val="1"/>
                <w:bCs w:val="1"/>
                <w:color w:val="auto"/>
              </w:rPr>
              <w:t>1,510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435</w:t>
            </w:r>
          </w:p>
        </w:tc>
      </w:tr>
      <w:tr>
        <w:trPr>
          <w:trHeight w:val="27"/>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&amp; title revenues</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2,207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4,717</w:t>
            </w:r>
          </w:p>
        </w:tc>
        <w:tc>
          <w:tcPr>
            <w:tcW w:w="4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5,681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14,627</w:t>
            </w:r>
          </w:p>
        </w:tc>
      </w:tr>
      <w:tr>
        <w:trPr>
          <w:trHeight w:val="27"/>
        </w:trPr>
        <w:tc>
          <w:tcPr>
            <w:tcW w:w="6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Ended June 30, 2012 Compared to the Three and Nine Months Ended Ended June 30, 2011</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 Continuing Operations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Data by Segment</w:t>
      </w:r>
    </w:p>
    <w:p>
      <w:pPr>
        <w:spacing w:after="0" w:line="234" w:lineRule="exact"/>
        <w:rPr>
          <w:sz w:val="20"/>
          <w:szCs w:val="20"/>
          <w:color w:val="auto"/>
        </w:rPr>
      </w:pPr>
    </w:p>
    <w:tbl>
      <w:tblPr>
        <w:tblLayout w:type="fixed"/>
        <w:tblInd w:w="150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Three Months Ended June 30,</w:t>
            </w:r>
          </w:p>
        </w:tc>
        <w:tc>
          <w:tcPr>
            <w:tcW w:w="1080" w:type="dxa"/>
            <w:vAlign w:val="bottom"/>
            <w:tcBorders>
              <w:bottom w:val="single" w:sz="8" w:color="auto"/>
            </w:tcBorders>
          </w:tcPr>
          <w:p>
            <w:pPr>
              <w:spacing w:after="0"/>
              <w:rPr>
                <w:sz w:val="16"/>
                <w:szCs w:val="16"/>
                <w:color w:val="auto"/>
              </w:rPr>
            </w:pPr>
          </w:p>
        </w:tc>
      </w:tr>
      <w:tr>
        <w:trPr>
          <w:trHeight w:val="264"/>
        </w:trPr>
        <w:tc>
          <w:tcPr>
            <w:tcW w:w="28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1"/>
              </w:rPr>
              <w:t>New Orders, net</w:t>
            </w: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Cancellation Rates</w:t>
            </w:r>
          </w:p>
        </w:tc>
      </w:tr>
      <w:tr>
        <w:trPr>
          <w:trHeight w:val="263"/>
        </w:trPr>
        <w:tc>
          <w:tcPr>
            <w:tcW w:w="2820" w:type="dxa"/>
            <w:vAlign w:val="bottom"/>
          </w:tcPr>
          <w:p>
            <w:pPr>
              <w:spacing w:after="0"/>
              <w:rPr>
                <w:sz w:val="22"/>
                <w:szCs w:val="22"/>
                <w:color w:val="auto"/>
              </w:rPr>
            </w:pPr>
          </w:p>
        </w:tc>
        <w:tc>
          <w:tcPr>
            <w:tcW w:w="960" w:type="dxa"/>
            <w:vAlign w:val="bottom"/>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960" w:type="dxa"/>
            <w:vAlign w:val="bottom"/>
          </w:tcPr>
          <w:p>
            <w:pPr>
              <w:jc w:val="right"/>
              <w:ind w:right="258"/>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22"/>
                <w:szCs w:val="22"/>
                <w:color w:val="auto"/>
              </w:rPr>
            </w:pPr>
          </w:p>
        </w:tc>
        <w:tc>
          <w:tcPr>
            <w:tcW w:w="1600" w:type="dxa"/>
            <w:vAlign w:val="bottom"/>
            <w:gridSpan w:val="3"/>
          </w:tcPr>
          <w:p>
            <w:pPr>
              <w:ind w:left="340"/>
              <w:spacing w:after="0"/>
              <w:rPr>
                <w:sz w:val="20"/>
                <w:szCs w:val="20"/>
                <w:color w:val="auto"/>
              </w:rPr>
            </w:pPr>
            <w:r>
              <w:rPr>
                <w:rFonts w:ascii="Arial" w:cs="Arial" w:eastAsia="Arial" w:hAnsi="Arial"/>
                <w:sz w:val="14"/>
                <w:szCs w:val="14"/>
                <w:b w:val="1"/>
                <w:bCs w:val="1"/>
                <w:color w:val="auto"/>
              </w:rPr>
              <w:t>12 v 11</w:t>
            </w:r>
          </w:p>
        </w:tc>
        <w:tc>
          <w:tcPr>
            <w:tcW w:w="700" w:type="dxa"/>
            <w:vAlign w:val="bottom"/>
          </w:tcPr>
          <w:p>
            <w:pPr>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1080" w:type="dxa"/>
            <w:vAlign w:val="bottom"/>
          </w:tcPr>
          <w:p>
            <w:pPr>
              <w:jc w:val="right"/>
              <w:ind w:right="314"/>
              <w:spacing w:after="0"/>
              <w:rPr>
                <w:sz w:val="20"/>
                <w:szCs w:val="20"/>
                <w:color w:val="auto"/>
              </w:rPr>
            </w:pPr>
            <w:r>
              <w:rPr>
                <w:rFonts w:ascii="Arial" w:cs="Arial" w:eastAsia="Arial" w:hAnsi="Arial"/>
                <w:sz w:val="14"/>
                <w:szCs w:val="14"/>
                <w:color w:val="auto"/>
              </w:rPr>
              <w:t>2011</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West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730</w:t>
            </w:r>
          </w:p>
        </w:tc>
        <w:tc>
          <w:tcPr>
            <w:tcW w:w="120" w:type="dxa"/>
            <w:vAlign w:val="bottom"/>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63.3%</w:t>
            </w: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22.1%</w:t>
            </w:r>
          </w:p>
        </w:tc>
        <w:tc>
          <w:tcPr>
            <w:tcW w:w="100" w:type="dxa"/>
            <w:vAlign w:val="bottom"/>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r>
      <w:tr>
        <w:trPr>
          <w:trHeight w:val="27"/>
        </w:trPr>
        <w:tc>
          <w:tcPr>
            <w:tcW w:w="2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Southeast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339</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ind w:left="160"/>
              <w:spacing w:after="0"/>
              <w:rPr>
                <w:sz w:val="20"/>
                <w:szCs w:val="20"/>
                <w:color w:val="auto"/>
              </w:rPr>
            </w:pPr>
            <w:r>
              <w:rPr>
                <w:rFonts w:ascii="Arial" w:cs="Arial" w:eastAsia="Arial" w:hAnsi="Arial"/>
                <w:sz w:val="18"/>
                <w:szCs w:val="18"/>
                <w:b w:val="1"/>
                <w:bCs w:val="1"/>
                <w:color w:val="auto"/>
              </w:rPr>
              <w:t>19.1%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
        </w:trPr>
        <w:tc>
          <w:tcPr>
            <w:tcW w:w="28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57"/>
        </w:trPr>
        <w:tc>
          <w:tcPr>
            <w:tcW w:w="2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1,555</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0"/>
        </w:trPr>
        <w:tc>
          <w:tcPr>
            <w:tcW w:w="2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805"/>
        </w:trPr>
        <w:tc>
          <w:tcPr>
            <w:tcW w:w="28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center"/>
              <w:ind w:left="758"/>
              <w:spacing w:after="0"/>
              <w:rPr>
                <w:sz w:val="20"/>
                <w:szCs w:val="20"/>
                <w:color w:val="auto"/>
              </w:rPr>
            </w:pPr>
            <w:r>
              <w:rPr>
                <w:rFonts w:ascii="Arial" w:cs="Arial" w:eastAsia="Arial" w:hAnsi="Arial"/>
                <w:sz w:val="14"/>
                <w:szCs w:val="14"/>
                <w:b w:val="1"/>
                <w:bCs w:val="1"/>
                <w:color w:val="auto"/>
                <w:w w:val="93"/>
              </w:rPr>
              <w:t>Nine Months Ended June 30,</w:t>
            </w: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64"/>
        </w:trPr>
        <w:tc>
          <w:tcPr>
            <w:tcW w:w="28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1"/>
              </w:rPr>
              <w:t>New Orders, net</w:t>
            </w: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Cancellation Rates</w:t>
            </w:r>
          </w:p>
        </w:tc>
      </w:tr>
      <w:tr>
        <w:trPr>
          <w:trHeight w:val="263"/>
        </w:trPr>
        <w:tc>
          <w:tcPr>
            <w:tcW w:w="2820" w:type="dxa"/>
            <w:vAlign w:val="bottom"/>
          </w:tcPr>
          <w:p>
            <w:pPr>
              <w:spacing w:after="0"/>
              <w:rPr>
                <w:sz w:val="22"/>
                <w:szCs w:val="22"/>
                <w:color w:val="auto"/>
              </w:rPr>
            </w:pPr>
          </w:p>
        </w:tc>
        <w:tc>
          <w:tcPr>
            <w:tcW w:w="960" w:type="dxa"/>
            <w:vAlign w:val="bottom"/>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960" w:type="dxa"/>
            <w:vAlign w:val="bottom"/>
          </w:tcPr>
          <w:p>
            <w:pPr>
              <w:jc w:val="right"/>
              <w:ind w:right="258"/>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22"/>
                <w:szCs w:val="22"/>
                <w:color w:val="auto"/>
              </w:rPr>
            </w:pPr>
          </w:p>
        </w:tc>
        <w:tc>
          <w:tcPr>
            <w:tcW w:w="1600" w:type="dxa"/>
            <w:vAlign w:val="bottom"/>
            <w:gridSpan w:val="3"/>
          </w:tcPr>
          <w:p>
            <w:pPr>
              <w:ind w:left="340"/>
              <w:spacing w:after="0"/>
              <w:rPr>
                <w:sz w:val="20"/>
                <w:szCs w:val="20"/>
                <w:color w:val="auto"/>
              </w:rPr>
            </w:pPr>
            <w:r>
              <w:rPr>
                <w:rFonts w:ascii="Arial" w:cs="Arial" w:eastAsia="Arial" w:hAnsi="Arial"/>
                <w:sz w:val="14"/>
                <w:szCs w:val="14"/>
                <w:b w:val="1"/>
                <w:bCs w:val="1"/>
                <w:color w:val="auto"/>
              </w:rPr>
              <w:t>12 v 11</w:t>
            </w:r>
          </w:p>
        </w:tc>
        <w:tc>
          <w:tcPr>
            <w:tcW w:w="700" w:type="dxa"/>
            <w:vAlign w:val="bottom"/>
          </w:tcPr>
          <w:p>
            <w:pPr>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1080" w:type="dxa"/>
            <w:vAlign w:val="bottom"/>
          </w:tcPr>
          <w:p>
            <w:pPr>
              <w:jc w:val="right"/>
              <w:ind w:right="314"/>
              <w:spacing w:after="0"/>
              <w:rPr>
                <w:sz w:val="20"/>
                <w:szCs w:val="20"/>
                <w:color w:val="auto"/>
              </w:rPr>
            </w:pPr>
            <w:r>
              <w:rPr>
                <w:rFonts w:ascii="Arial" w:cs="Arial" w:eastAsia="Arial" w:hAnsi="Arial"/>
                <w:sz w:val="14"/>
                <w:szCs w:val="14"/>
                <w:color w:val="auto"/>
              </w:rPr>
              <w:t>2011</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West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1,688</w:t>
            </w:r>
          </w:p>
        </w:tc>
        <w:tc>
          <w:tcPr>
            <w:tcW w:w="120" w:type="dxa"/>
            <w:vAlign w:val="bottom"/>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62.6%</w:t>
            </w: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24.2%</w:t>
            </w:r>
          </w:p>
        </w:tc>
        <w:tc>
          <w:tcPr>
            <w:tcW w:w="100" w:type="dxa"/>
            <w:vAlign w:val="bottom"/>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7"/>
        </w:trPr>
        <w:tc>
          <w:tcPr>
            <w:tcW w:w="2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Southeast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866</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ind w:left="160"/>
              <w:spacing w:after="0"/>
              <w:rPr>
                <w:sz w:val="20"/>
                <w:szCs w:val="20"/>
                <w:color w:val="auto"/>
              </w:rPr>
            </w:pPr>
            <w:r>
              <w:rPr>
                <w:rFonts w:ascii="Arial" w:cs="Arial" w:eastAsia="Arial" w:hAnsi="Arial"/>
                <w:sz w:val="18"/>
                <w:szCs w:val="18"/>
                <w:b w:val="1"/>
                <w:bCs w:val="1"/>
                <w:color w:val="auto"/>
              </w:rPr>
              <w:t>19.1%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28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57"/>
        </w:trPr>
        <w:tc>
          <w:tcPr>
            <w:tcW w:w="2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3,791</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26.0%</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0"/>
        </w:trPr>
        <w:tc>
          <w:tcPr>
            <w:tcW w:w="2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first three quarters of fiscal 2012, all of our segments experienced improvements in net new orders as compared to the prior fiscal year. This increase in net new orders has been driven by implementation of improved operating strategies which have emphasized increasing sales per community per month. In addition our West and Southeast segments have also benefited from improving market conditions as evidenced by increased traffic to our communities. The increases in these segments were moderated slightly by a lower increase in new orders, net of cancellations in our East segment. Despite the increased traffic in many of our markets, potential buyers still continue to be negatively impacted by the lengthened mortgage process and limited financing availability. These challenges not only impact our ability to sell homes, but also impact our potential homebuyer’s ability to sell existing homes and to obtain mortgage financing.</w:t>
      </w:r>
    </w:p>
    <w:p>
      <w:pPr>
        <w:spacing w:after="0" w:line="194" w:lineRule="exact"/>
        <w:rPr>
          <w:sz w:val="20"/>
          <w:szCs w:val="20"/>
          <w:color w:val="auto"/>
        </w:rPr>
      </w:pPr>
    </w:p>
    <w:tbl>
      <w:tblPr>
        <w:tblLayout w:type="fixed"/>
        <w:tblInd w:w="230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94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w w:val="95"/>
              </w:rPr>
              <w:t>As of June 30, 2012</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12 v 11</w:t>
            </w: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 Units:</w:t>
            </w: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West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1,064</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67.0%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Southeast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466</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34.7%</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2,421</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20"/>
              <w:spacing w:after="0"/>
              <w:rPr>
                <w:sz w:val="20"/>
                <w:szCs w:val="20"/>
                <w:color w:val="auto"/>
              </w:rPr>
            </w:pPr>
            <w:r>
              <w:rPr>
                <w:rFonts w:ascii="Arial" w:cs="Arial" w:eastAsia="Arial" w:hAnsi="Arial"/>
                <w:sz w:val="18"/>
                <w:szCs w:val="18"/>
                <w:color w:val="auto"/>
              </w:rPr>
              <w:t>Aggregate dollar value of homes in backlog (in</w:t>
            </w: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200" w:type="dxa"/>
            <w:vAlign w:val="bottom"/>
            <w:vMerge w:val="continue"/>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572.8</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32.8%</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millions)</w:t>
            </w: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   431.2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Backlog above reflects the number of homes for which the Company has entered into a sales contract with a customer but has not yet delivered the home. The increase in backlog for our continuing operations at June 30, 2012 compared to the prior year, related to our growth in net new orders and the impact of our higher beginning backlog. If we are unable to sustain or increase this level of backlog, we will experience less revenue in the future which could also result in additional asset impairment charges and lower levels of liquidity. However, we currently expect new orders and backlog to increase as the availability of mortgage loans stabilizes, the inventory of new and used homes decreases and consumer confidence in the economic recovery increases.</w:t>
      </w:r>
    </w:p>
    <w:p>
      <w:pPr>
        <w:spacing w:after="0" w:line="100"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 xml:space="preserve">Homebuilding Revenues and Average Selling Price. </w:t>
      </w:r>
      <w:r>
        <w:rPr>
          <w:rFonts w:ascii="Arial" w:cs="Arial" w:eastAsia="Arial" w:hAnsi="Arial"/>
          <w:sz w:val="18"/>
          <w:szCs w:val="18"/>
          <w:color w:val="auto"/>
        </w:rPr>
        <w:t>The table below summarizes homebuilding revenues, the average selling prices of our homes and</w:t>
      </w:r>
      <w:r>
        <w:rPr>
          <w:rFonts w:ascii="Arial" w:cs="Arial" w:eastAsia="Arial" w:hAnsi="Arial"/>
          <w:sz w:val="18"/>
          <w:szCs w:val="18"/>
          <w:b w:val="1"/>
          <w:bCs w:val="1"/>
          <w:color w:val="auto"/>
        </w:rPr>
        <w:t xml:space="preserve"> </w:t>
      </w:r>
      <w:r>
        <w:rPr>
          <w:rFonts w:ascii="Arial" w:cs="Arial" w:eastAsia="Arial" w:hAnsi="Arial"/>
          <w:sz w:val="18"/>
          <w:szCs w:val="18"/>
          <w:color w:val="auto"/>
        </w:rPr>
        <w:t>closings by reportable segment (in thousands):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00"/>
          </w:cols>
          <w:pgMar w:left="240" w:top="121" w:right="2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10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w w:val="92"/>
              </w:rPr>
              <w:t>Three Months Ended June 30,</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4"/>
              </w:rPr>
              <w:t>Homebuilding Revenues</w:t>
            </w: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2"/>
              </w:rPr>
              <w:t>Average Selling Price</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Closings</w:t>
            </w: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12 v 11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12 v 11</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12 v 11</w:t>
            </w:r>
          </w:p>
        </w:tc>
        <w:tc>
          <w:tcPr>
            <w:tcW w:w="0" w:type="dxa"/>
            <w:vAlign w:val="bottom"/>
          </w:tcPr>
          <w:p>
            <w:pPr>
              <w:spacing w:after="0"/>
              <w:rPr>
                <w:sz w:val="1"/>
                <w:szCs w:val="1"/>
                <w:color w:val="auto"/>
              </w:rPr>
            </w:pPr>
          </w:p>
        </w:tc>
      </w:tr>
      <w:tr>
        <w:trPr>
          <w:trHeight w:val="177"/>
        </w:trPr>
        <w:tc>
          <w:tcPr>
            <w:tcW w:w="12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West</w:t>
            </w:r>
          </w:p>
        </w:tc>
        <w:tc>
          <w:tcPr>
            <w:tcW w:w="2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97,356</w:t>
            </w:r>
          </w:p>
        </w:tc>
        <w:tc>
          <w:tcPr>
            <w:tcW w:w="440" w:type="dxa"/>
            <w:vAlign w:val="bottom"/>
            <w:gridSpan w:val="3"/>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53,549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81.8%</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214.0</w:t>
            </w:r>
          </w:p>
        </w:tc>
        <w:tc>
          <w:tcPr>
            <w:tcW w:w="34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196.2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9.1%</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455</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273</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66.7%</w:t>
            </w:r>
          </w:p>
        </w:tc>
        <w:tc>
          <w:tcPr>
            <w:tcW w:w="0" w:type="dxa"/>
            <w:vAlign w:val="bottom"/>
          </w:tcPr>
          <w:p>
            <w:pPr>
              <w:spacing w:after="0"/>
              <w:rPr>
                <w:sz w:val="1"/>
                <w:szCs w:val="1"/>
                <w:color w:val="auto"/>
              </w:rPr>
            </w:pPr>
          </w:p>
        </w:tc>
      </w:tr>
      <w:tr>
        <w:trPr>
          <w:trHeight w:val="80"/>
        </w:trPr>
        <w:tc>
          <w:tcPr>
            <w:tcW w:w="10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440" w:type="dxa"/>
            <w:vAlign w:val="bottom"/>
            <w:gridSpan w:val="3"/>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34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40" w:type="dxa"/>
            <w:vAlign w:val="bottom"/>
            <w:gridSpan w:val="2"/>
          </w:tcPr>
          <w:p>
            <w:pPr>
              <w:ind w:left="40"/>
              <w:spacing w:after="0"/>
              <w:rPr>
                <w:sz w:val="20"/>
                <w:szCs w:val="20"/>
                <w:color w:val="auto"/>
              </w:rPr>
            </w:pPr>
            <w:r>
              <w:rPr>
                <w:rFonts w:ascii="Arial" w:cs="Arial" w:eastAsia="Arial" w:hAnsi="Arial"/>
                <w:sz w:val="14"/>
                <w:szCs w:val="14"/>
                <w:color w:val="auto"/>
              </w:rPr>
              <w:t>East</w:t>
            </w:r>
          </w:p>
        </w:tc>
        <w:tc>
          <w:tcPr>
            <w:tcW w:w="22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98,850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76,226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29.7%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258.8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245.1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5.6%</w:t>
            </w: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382</w:t>
            </w:r>
          </w:p>
        </w:tc>
        <w:tc>
          <w:tcPr>
            <w:tcW w:w="10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311</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22.8%</w:t>
            </w:r>
          </w:p>
        </w:tc>
        <w:tc>
          <w:tcPr>
            <w:tcW w:w="0" w:type="dxa"/>
            <w:vAlign w:val="bottom"/>
          </w:tcPr>
          <w:p>
            <w:pPr>
              <w:spacing w:after="0"/>
              <w:rPr>
                <w:sz w:val="1"/>
                <w:szCs w:val="1"/>
                <w:color w:val="auto"/>
              </w:rPr>
            </w:pPr>
          </w:p>
        </w:tc>
      </w:tr>
      <w:tr>
        <w:trPr>
          <w:trHeight w:val="74"/>
        </w:trPr>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2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Southeast</w:t>
            </w:r>
          </w:p>
        </w:tc>
        <w:tc>
          <w:tcPr>
            <w:tcW w:w="2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55,865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38,669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44.5%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205.4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10.0%</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272</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207</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31.4%</w:t>
            </w:r>
          </w:p>
        </w:tc>
        <w:tc>
          <w:tcPr>
            <w:tcW w:w="0" w:type="dxa"/>
            <w:vAlign w:val="bottom"/>
          </w:tcPr>
          <w:p>
            <w:pPr>
              <w:spacing w:after="0"/>
              <w:rPr>
                <w:sz w:val="1"/>
                <w:szCs w:val="1"/>
                <w:color w:val="auto"/>
              </w:rPr>
            </w:pPr>
          </w:p>
        </w:tc>
      </w:tr>
      <w:tr>
        <w:trPr>
          <w:trHeight w:val="80"/>
        </w:trPr>
        <w:tc>
          <w:tcPr>
            <w:tcW w:w="10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240" w:type="dxa"/>
            <w:vAlign w:val="bottom"/>
            <w:gridSpan w:val="2"/>
          </w:tcPr>
          <w:p>
            <w:pPr>
              <w:ind w:left="380"/>
              <w:spacing w:after="0"/>
              <w:rPr>
                <w:sz w:val="20"/>
                <w:szCs w:val="20"/>
                <w:color w:val="auto"/>
              </w:rPr>
            </w:pPr>
            <w:r>
              <w:rPr>
                <w:rFonts w:ascii="Arial" w:cs="Arial" w:eastAsia="Arial" w:hAnsi="Arial"/>
                <w:sz w:val="14"/>
                <w:szCs w:val="14"/>
                <w:color w:val="auto"/>
              </w:rPr>
              <w:t>Total</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252,071</w:t>
            </w:r>
          </w:p>
        </w:tc>
        <w:tc>
          <w:tcPr>
            <w:tcW w:w="10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168,444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49.6%</w:t>
            </w:r>
          </w:p>
        </w:tc>
        <w:tc>
          <w:tcPr>
            <w:tcW w:w="100" w:type="dxa"/>
            <w:vAlign w:val="bottom"/>
          </w:tcPr>
          <w:p>
            <w:pPr>
              <w:spacing w:after="0"/>
              <w:rPr>
                <w:sz w:val="14"/>
                <w:szCs w:val="14"/>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227.3</w:t>
            </w:r>
          </w:p>
        </w:tc>
        <w:tc>
          <w:tcPr>
            <w:tcW w:w="120" w:type="dxa"/>
            <w:vAlign w:val="bottom"/>
            <w:vMerge w:val="restart"/>
          </w:tcPr>
          <w:p>
            <w:pPr>
              <w:spacing w:after="0"/>
              <w:rPr>
                <w:sz w:val="14"/>
                <w:szCs w:val="14"/>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213.0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6.7%</w:t>
            </w:r>
          </w:p>
        </w:tc>
        <w:tc>
          <w:tcPr>
            <w:tcW w:w="12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1,109</w:t>
            </w:r>
          </w:p>
        </w:tc>
        <w:tc>
          <w:tcPr>
            <w:tcW w:w="100" w:type="dxa"/>
            <w:vAlign w:val="bottom"/>
          </w:tcPr>
          <w:p>
            <w:pPr>
              <w:spacing w:after="0"/>
              <w:rPr>
                <w:sz w:val="14"/>
                <w:szCs w:val="14"/>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791</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40.2%</w:t>
            </w:r>
          </w:p>
        </w:tc>
        <w:tc>
          <w:tcPr>
            <w:tcW w:w="0" w:type="dxa"/>
            <w:vAlign w:val="bottom"/>
          </w:tcPr>
          <w:p>
            <w:pPr>
              <w:spacing w:after="0"/>
              <w:rPr>
                <w:sz w:val="1"/>
                <w:szCs w:val="1"/>
                <w:color w:val="auto"/>
              </w:rPr>
            </w:pPr>
          </w:p>
        </w:tc>
      </w:tr>
      <w:tr>
        <w:trPr>
          <w:trHeight w:val="71"/>
        </w:trPr>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3"/>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w w:val="93"/>
              </w:rPr>
              <w:t>Nine Months Ended June 30,</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4"/>
              </w:rPr>
              <w:t>Homebuilding Revenues</w:t>
            </w: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2"/>
              </w:rPr>
              <w:t>Average Selling Price</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Closings</w:t>
            </w: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12 v 11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12 v 11</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12 v 11</w:t>
            </w:r>
          </w:p>
        </w:tc>
        <w:tc>
          <w:tcPr>
            <w:tcW w:w="0" w:type="dxa"/>
            <w:vAlign w:val="bottom"/>
          </w:tcPr>
          <w:p>
            <w:pPr>
              <w:spacing w:after="0"/>
              <w:rPr>
                <w:sz w:val="1"/>
                <w:szCs w:val="1"/>
                <w:color w:val="auto"/>
              </w:rPr>
            </w:pPr>
          </w:p>
        </w:tc>
      </w:tr>
      <w:tr>
        <w:trPr>
          <w:trHeight w:val="177"/>
        </w:trPr>
        <w:tc>
          <w:tcPr>
            <w:tcW w:w="12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West</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245,420</w:t>
            </w:r>
          </w:p>
        </w:tc>
        <w:tc>
          <w:tcPr>
            <w:tcW w:w="440" w:type="dxa"/>
            <w:vAlign w:val="bottom"/>
            <w:gridSpan w:val="3"/>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128,885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90.4%</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205.5</w:t>
            </w:r>
          </w:p>
        </w:tc>
        <w:tc>
          <w:tcPr>
            <w:tcW w:w="34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192.4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6.8%</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1,194</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670</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78.2%</w:t>
            </w:r>
          </w:p>
        </w:tc>
        <w:tc>
          <w:tcPr>
            <w:tcW w:w="0" w:type="dxa"/>
            <w:vAlign w:val="bottom"/>
          </w:tcPr>
          <w:p>
            <w:pPr>
              <w:spacing w:after="0"/>
              <w:rPr>
                <w:sz w:val="1"/>
                <w:szCs w:val="1"/>
                <w:color w:val="auto"/>
              </w:rPr>
            </w:pPr>
          </w:p>
        </w:tc>
      </w:tr>
      <w:tr>
        <w:trPr>
          <w:trHeight w:val="80"/>
        </w:trPr>
        <w:tc>
          <w:tcPr>
            <w:tcW w:w="10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440" w:type="dxa"/>
            <w:vAlign w:val="bottom"/>
            <w:gridSpan w:val="3"/>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34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40" w:type="dxa"/>
            <w:vAlign w:val="bottom"/>
            <w:gridSpan w:val="2"/>
          </w:tcPr>
          <w:p>
            <w:pPr>
              <w:ind w:left="40"/>
              <w:spacing w:after="0"/>
              <w:rPr>
                <w:sz w:val="20"/>
                <w:szCs w:val="20"/>
                <w:color w:val="auto"/>
              </w:rPr>
            </w:pPr>
            <w:r>
              <w:rPr>
                <w:rFonts w:ascii="Arial" w:cs="Arial" w:eastAsia="Arial" w:hAnsi="Arial"/>
                <w:sz w:val="14"/>
                <w:szCs w:val="14"/>
                <w:color w:val="auto"/>
              </w:rPr>
              <w:t>East</w:t>
            </w:r>
          </w:p>
        </w:tc>
        <w:tc>
          <w:tcPr>
            <w:tcW w:w="22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255,519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182,367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259.7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249.1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4.3%</w:t>
            </w:r>
          </w:p>
        </w:tc>
        <w:tc>
          <w:tcPr>
            <w:tcW w:w="12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984</w:t>
            </w:r>
          </w:p>
        </w:tc>
        <w:tc>
          <w:tcPr>
            <w:tcW w:w="10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732</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34.4%</w:t>
            </w:r>
          </w:p>
        </w:tc>
        <w:tc>
          <w:tcPr>
            <w:tcW w:w="0" w:type="dxa"/>
            <w:vAlign w:val="bottom"/>
          </w:tcPr>
          <w:p>
            <w:pPr>
              <w:spacing w:after="0"/>
              <w:rPr>
                <w:sz w:val="1"/>
                <w:szCs w:val="1"/>
                <w:color w:val="auto"/>
              </w:rPr>
            </w:pPr>
          </w:p>
        </w:tc>
      </w:tr>
      <w:tr>
        <w:trPr>
          <w:trHeight w:val="74"/>
        </w:trPr>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2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Southeast</w:t>
            </w:r>
          </w:p>
        </w:tc>
        <w:tc>
          <w:tcPr>
            <w:tcW w:w="2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127,601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87,635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45.6%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198.8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6.8%</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642</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471</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36.3%</w:t>
            </w:r>
          </w:p>
        </w:tc>
        <w:tc>
          <w:tcPr>
            <w:tcW w:w="0" w:type="dxa"/>
            <w:vAlign w:val="bottom"/>
          </w:tcPr>
          <w:p>
            <w:pPr>
              <w:spacing w:after="0"/>
              <w:rPr>
                <w:sz w:val="1"/>
                <w:szCs w:val="1"/>
                <w:color w:val="auto"/>
              </w:rPr>
            </w:pPr>
          </w:p>
        </w:tc>
      </w:tr>
      <w:tr>
        <w:trPr>
          <w:trHeight w:val="80"/>
        </w:trPr>
        <w:tc>
          <w:tcPr>
            <w:tcW w:w="10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240" w:type="dxa"/>
            <w:vAlign w:val="bottom"/>
            <w:gridSpan w:val="2"/>
          </w:tcPr>
          <w:p>
            <w:pPr>
              <w:ind w:left="380"/>
              <w:spacing w:after="0"/>
              <w:rPr>
                <w:sz w:val="20"/>
                <w:szCs w:val="20"/>
                <w:color w:val="auto"/>
              </w:rPr>
            </w:pPr>
            <w:r>
              <w:rPr>
                <w:rFonts w:ascii="Arial" w:cs="Arial" w:eastAsia="Arial" w:hAnsi="Arial"/>
                <w:sz w:val="14"/>
                <w:szCs w:val="14"/>
                <w:color w:val="auto"/>
              </w:rPr>
              <w:t>Total</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628,540</w:t>
            </w:r>
          </w:p>
        </w:tc>
        <w:tc>
          <w:tcPr>
            <w:tcW w:w="440" w:type="dxa"/>
            <w:vAlign w:val="bottom"/>
            <w:gridSpan w:val="3"/>
            <w:vMerge w:val="restart"/>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398,887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57.6%</w:t>
            </w:r>
          </w:p>
        </w:tc>
        <w:tc>
          <w:tcPr>
            <w:tcW w:w="100" w:type="dxa"/>
            <w:vAlign w:val="bottom"/>
          </w:tcPr>
          <w:p>
            <w:pPr>
              <w:spacing w:after="0"/>
              <w:rPr>
                <w:sz w:val="14"/>
                <w:szCs w:val="14"/>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222.9</w:t>
            </w:r>
          </w:p>
        </w:tc>
        <w:tc>
          <w:tcPr>
            <w:tcW w:w="34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213.0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w:t>
            </w:r>
          </w:p>
        </w:tc>
        <w:tc>
          <w:tcPr>
            <w:tcW w:w="12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2,820</w:t>
            </w:r>
          </w:p>
        </w:tc>
        <w:tc>
          <w:tcPr>
            <w:tcW w:w="100" w:type="dxa"/>
            <w:vAlign w:val="bottom"/>
          </w:tcPr>
          <w:p>
            <w:pPr>
              <w:spacing w:after="0"/>
              <w:rPr>
                <w:sz w:val="14"/>
                <w:szCs w:val="14"/>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1,873</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50.6%</w:t>
            </w:r>
          </w:p>
        </w:tc>
        <w:tc>
          <w:tcPr>
            <w:tcW w:w="0" w:type="dxa"/>
            <w:vAlign w:val="bottom"/>
          </w:tcPr>
          <w:p>
            <w:pPr>
              <w:spacing w:after="0"/>
              <w:rPr>
                <w:sz w:val="1"/>
                <w:szCs w:val="1"/>
                <w:color w:val="auto"/>
              </w:rPr>
            </w:pPr>
          </w:p>
        </w:tc>
      </w:tr>
      <w:tr>
        <w:trPr>
          <w:trHeight w:val="66"/>
        </w:trPr>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Improved operational strategies and improving market conditions in many of our markets enhanced our ability to generate additional traffic and sales in the current and prior quarters. These increased sales and operational improvements drove the increase in closings, average selling prices (ASP) and homebuilding revenues across all of our segments noted above. The increase in closings is particularly attributable to a higher beginning backlog related to increased sales in the prior quarter and improved traffic in many of our markets which enhanced our ability to generate additional sales and closings in the current quarter. The increase in ASP was primarily attributable to the mix in closings between products and among communities as compared to the prior year, although certain markets were able to selectively increase ASP in response to improving market conditions.</w:t>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Homebuilding Gross Profit. </w:t>
      </w:r>
      <w:r>
        <w:rPr>
          <w:rFonts w:ascii="Arial" w:cs="Arial" w:eastAsia="Arial" w:hAnsi="Arial"/>
          <w:sz w:val="16"/>
          <w:szCs w:val="16"/>
          <w:color w:val="auto"/>
        </w:rPr>
        <w:t>Homebuilding gross profit is defined as homebuilding revenues less home cost of sales (which includes land and land</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costs, home construction costs, capitalized interest, indirect costs of construction, estimated warranty costs, closing costs and inventory impairment and lot option abandonment charges). Corporate and unallocated costs include the amortization of capitalized interest and indirect construction costs. The following table sets forth our homebuilding gross profit and gross margin by reportable segment and total homebuilding gross profit and gross margin, and such amounts excluding inventory impairments and abandonments and interest amortized to cost of sales for the three and nine months ended June 30, 2012, and 2011. Total homebuilding gross profit and gross margin excluding inventory impairments and abandonments and interest amortized to cost of sales are not GAAP financial measures. These measures should not be considered alternatives to homebuilding gross profit determined in accordance with GAAP as an indicator of operating performance. The magnitude and volatility of non-cash inventory impairment and abandonment charges for the Company, and for other home builders, have been significant in recent periods and, as such, have made financial analysis of our industry more difficult. Homebuilding metrics excluding these charges, and other similar presentations by analysts and other companies, is frequently used to assist investors in understanding and comparing the operating characteristics of home building activities by eliminating many of the differences in companies’ respective level of impairments and levels of debt. Management believes these non-GAAP measures enable holders of our securities to better understand the cash implications of our operating performance and our ability to service our debt obligations as they currently exist and as additional indebtedness is incurred in the future. These measures are also useful internally, helping management compare operating results and as a measure of the level of cash which may be available for discretionary spending.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114" w:right="2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4"/>
          <w:szCs w:val="14"/>
          <w:color w:val="auto"/>
        </w:rPr>
        <w:t>($ in thousands)</w:t>
      </w:r>
    </w:p>
    <w:p>
      <w:pPr>
        <w:spacing w:after="0" w:line="200" w:lineRule="exact"/>
        <w:rPr>
          <w:sz w:val="20"/>
          <w:szCs w:val="20"/>
          <w:color w:val="auto"/>
        </w:rPr>
      </w:pPr>
    </w:p>
    <w:p>
      <w:pPr>
        <w:spacing w:after="0" w:line="3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East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Southeast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Corporate &amp; unallocated</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 homebuilding</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 in thousands)</w:t>
      </w:r>
    </w:p>
    <w:p>
      <w:pPr>
        <w:spacing w:after="0" w:line="200" w:lineRule="exact"/>
        <w:rPr>
          <w:sz w:val="20"/>
          <w:szCs w:val="20"/>
          <w:color w:val="auto"/>
        </w:rPr>
      </w:pPr>
    </w:p>
    <w:p>
      <w:pPr>
        <w:spacing w:after="0" w:line="3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East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Southeast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Corporate &amp; unallocated</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 homebuilding</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 in thousands)</w:t>
      </w:r>
    </w:p>
    <w:p>
      <w:pPr>
        <w:spacing w:after="0" w:line="200" w:lineRule="exact"/>
        <w:rPr>
          <w:sz w:val="20"/>
          <w:szCs w:val="20"/>
          <w:color w:val="auto"/>
        </w:rPr>
      </w:pPr>
    </w:p>
    <w:p>
      <w:pPr>
        <w:spacing w:after="0" w:line="3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East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Southeast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Corporate &amp; unallocated</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 homebuilding</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 in thousands)</w:t>
      </w:r>
    </w:p>
    <w:p>
      <w:pPr>
        <w:spacing w:after="0" w:line="200" w:lineRule="exact"/>
        <w:rPr>
          <w:sz w:val="20"/>
          <w:szCs w:val="20"/>
          <w:color w:val="auto"/>
        </w:rPr>
      </w:pPr>
    </w:p>
    <w:p>
      <w:pPr>
        <w:spacing w:after="0" w:line="3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East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Southeast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Corporate &amp; unallocated</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 homebuilding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Three Months Ended June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157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color w:val="auto"/>
                <w:w w:val="97"/>
              </w:rPr>
              <w:t>Impairments &amp;</w:t>
            </w:r>
          </w:p>
        </w:tc>
        <w:tc>
          <w:tcPr>
            <w:tcW w:w="160" w:type="dxa"/>
            <w:vAlign w:val="bottom"/>
          </w:tcPr>
          <w:p>
            <w:pPr>
              <w:spacing w:after="0"/>
              <w:rPr>
                <w:sz w:val="14"/>
                <w:szCs w:val="14"/>
                <w:color w:val="auto"/>
              </w:rPr>
            </w:pPr>
          </w:p>
        </w:tc>
        <w:tc>
          <w:tcPr>
            <w:tcW w:w="840" w:type="dxa"/>
            <w:vAlign w:val="bottom"/>
          </w:tcPr>
          <w:p>
            <w:pPr>
              <w:jc w:val="center"/>
              <w:ind w:right="88"/>
              <w:spacing w:after="0"/>
              <w:rPr>
                <w:sz w:val="20"/>
                <w:szCs w:val="20"/>
                <w:color w:val="auto"/>
              </w:rPr>
            </w:pPr>
            <w:r>
              <w:rPr>
                <w:rFonts w:ascii="Arial" w:cs="Arial" w:eastAsia="Arial" w:hAnsi="Arial"/>
                <w:sz w:val="14"/>
                <w:szCs w:val="14"/>
                <w:color w:val="auto"/>
                <w:w w:val="92"/>
              </w:rPr>
              <w:t>HB Gross</w:t>
            </w:r>
          </w:p>
        </w:tc>
        <w:tc>
          <w:tcPr>
            <w:tcW w:w="120" w:type="dxa"/>
            <w:vAlign w:val="bottom"/>
          </w:tcPr>
          <w:p>
            <w:pPr>
              <w:spacing w:after="0"/>
              <w:rPr>
                <w:sz w:val="14"/>
                <w:szCs w:val="14"/>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4"/>
                <w:szCs w:val="14"/>
                <w:color w:val="auto"/>
                <w:w w:val="92"/>
              </w:rPr>
              <w:t>HB Gross</w:t>
            </w:r>
          </w:p>
        </w:tc>
        <w:tc>
          <w:tcPr>
            <w:tcW w:w="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Interest</w:t>
            </w:r>
          </w:p>
        </w:tc>
        <w:tc>
          <w:tcPr>
            <w:tcW w:w="120" w:type="dxa"/>
            <w:vAlign w:val="bottom"/>
          </w:tcPr>
          <w:p>
            <w:pPr>
              <w:spacing w:after="0"/>
              <w:rPr>
                <w:sz w:val="14"/>
                <w:szCs w:val="14"/>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color w:val="auto"/>
                <w:w w:val="94"/>
              </w:rPr>
              <w:t>HB Gross Profit</w:t>
            </w:r>
          </w:p>
        </w:tc>
        <w:tc>
          <w:tcPr>
            <w:tcW w:w="1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4"/>
              </w:rPr>
              <w:t>HB Gross Margin</w:t>
            </w:r>
          </w:p>
        </w:tc>
      </w:tr>
      <w:tr>
        <w:trPr>
          <w:trHeight w:val="149"/>
        </w:trPr>
        <w:tc>
          <w:tcPr>
            <w:tcW w:w="140" w:type="dxa"/>
            <w:vAlign w:val="bottom"/>
          </w:tcPr>
          <w:p>
            <w:pPr>
              <w:spacing w:after="0"/>
              <w:rPr>
                <w:sz w:val="12"/>
                <w:szCs w:val="12"/>
                <w:color w:val="auto"/>
              </w:rPr>
            </w:pPr>
          </w:p>
        </w:tc>
        <w:tc>
          <w:tcPr>
            <w:tcW w:w="92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5"/>
              </w:rPr>
              <w:t>HB Gross</w:t>
            </w: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HB Gross</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Abandonments</w:t>
            </w:r>
          </w:p>
        </w:tc>
        <w:tc>
          <w:tcPr>
            <w:tcW w:w="160" w:type="dxa"/>
            <w:vAlign w:val="bottom"/>
          </w:tcPr>
          <w:p>
            <w:pPr>
              <w:spacing w:after="0"/>
              <w:rPr>
                <w:sz w:val="12"/>
                <w:szCs w:val="12"/>
                <w:color w:val="auto"/>
              </w:rPr>
            </w:pPr>
          </w:p>
        </w:tc>
        <w:tc>
          <w:tcPr>
            <w:tcW w:w="84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9"/>
              </w:rPr>
              <w:t>Profit w/o</w:t>
            </w:r>
          </w:p>
        </w:tc>
        <w:tc>
          <w:tcPr>
            <w:tcW w:w="120" w:type="dxa"/>
            <w:vAlign w:val="bottom"/>
          </w:tcPr>
          <w:p>
            <w:pPr>
              <w:spacing w:after="0"/>
              <w:rPr>
                <w:sz w:val="12"/>
                <w:szCs w:val="12"/>
                <w:color w:val="auto"/>
              </w:rPr>
            </w:pPr>
          </w:p>
        </w:tc>
        <w:tc>
          <w:tcPr>
            <w:tcW w:w="11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9"/>
              </w:rPr>
              <w:t>Margin w/o</w:t>
            </w: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Amortized to</w:t>
            </w:r>
          </w:p>
        </w:tc>
        <w:tc>
          <w:tcPr>
            <w:tcW w:w="120" w:type="dxa"/>
            <w:vAlign w:val="bottom"/>
          </w:tcPr>
          <w:p>
            <w:pPr>
              <w:spacing w:after="0"/>
              <w:rPr>
                <w:sz w:val="12"/>
                <w:szCs w:val="12"/>
                <w:color w:val="auto"/>
              </w:rPr>
            </w:pPr>
          </w:p>
        </w:tc>
        <w:tc>
          <w:tcPr>
            <w:tcW w:w="1120" w:type="dxa"/>
            <w:vAlign w:val="bottom"/>
          </w:tcPr>
          <w:p>
            <w:pPr>
              <w:jc w:val="center"/>
              <w:ind w:right="48"/>
              <w:spacing w:after="0" w:line="149" w:lineRule="exact"/>
              <w:rPr>
                <w:sz w:val="20"/>
                <w:szCs w:val="20"/>
                <w:color w:val="auto"/>
              </w:rPr>
            </w:pPr>
            <w:r>
              <w:rPr>
                <w:rFonts w:ascii="Arial" w:cs="Arial" w:eastAsia="Arial" w:hAnsi="Arial"/>
                <w:sz w:val="14"/>
                <w:szCs w:val="14"/>
                <w:color w:val="auto"/>
              </w:rPr>
              <w:t>w/o I&amp;A and</w:t>
            </w:r>
          </w:p>
        </w:tc>
        <w:tc>
          <w:tcPr>
            <w:tcW w:w="1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rPr>
              <w:t>w/o I&amp;A and</w:t>
            </w:r>
          </w:p>
        </w:tc>
      </w:tr>
      <w:tr>
        <w:trPr>
          <w:trHeight w:val="188"/>
        </w:trPr>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8"/>
              </w:rPr>
              <w:t>Profit (Loss)</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Margin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(I&amp;A)</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I&amp;A</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I&amp;A</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2"/>
              </w:rPr>
              <w:t>COS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4"/>
              </w:rPr>
              <w:t>Interest</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Interest</w:t>
            </w:r>
          </w:p>
        </w:tc>
      </w:tr>
      <w:tr>
        <w:trPr>
          <w:trHeight w:val="244"/>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14,707</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1,609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16,316</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16,316</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16.8%</w:t>
            </w:r>
          </w:p>
        </w:tc>
      </w:tr>
      <w:tr>
        <w:trPr>
          <w:trHeight w:val="270"/>
        </w:trPr>
        <w:tc>
          <w:tcPr>
            <w:tcW w:w="1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11,075</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3,132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14,207</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14,207</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14.4%</w:t>
            </w:r>
          </w:p>
        </w:tc>
      </w:tr>
      <w:tr>
        <w:trPr>
          <w:trHeight w:val="270"/>
        </w:trPr>
        <w:tc>
          <w:tcPr>
            <w:tcW w:w="1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9,163</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9,852</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9,852</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17.6%</w:t>
            </w:r>
          </w:p>
        </w:tc>
      </w:tr>
      <w:tr>
        <w:trPr>
          <w:trHeight w:val="276"/>
        </w:trPr>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(14,289)</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(13,900)</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15,649</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1,749</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20,656</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5,819</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26,475</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15,649</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42,124</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16.7%</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501"/>
        </w:trPr>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color w:val="auto"/>
                <w:w w:val="91"/>
              </w:rPr>
              <w:t>Three Months Ended June 30, 2011</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156"/>
        </w:trPr>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7"/>
              </w:rPr>
              <w:t>Impairments &amp;</w:t>
            </w:r>
          </w:p>
        </w:tc>
        <w:tc>
          <w:tcPr>
            <w:tcW w:w="160" w:type="dxa"/>
            <w:vAlign w:val="bottom"/>
          </w:tcPr>
          <w:p>
            <w:pPr>
              <w:spacing w:after="0"/>
              <w:rPr>
                <w:sz w:val="13"/>
                <w:szCs w:val="13"/>
                <w:color w:val="auto"/>
              </w:rPr>
            </w:pPr>
          </w:p>
        </w:tc>
        <w:tc>
          <w:tcPr>
            <w:tcW w:w="840" w:type="dxa"/>
            <w:vAlign w:val="bottom"/>
          </w:tcPr>
          <w:p>
            <w:pPr>
              <w:jc w:val="center"/>
              <w:ind w:right="88"/>
              <w:spacing w:after="0" w:line="157" w:lineRule="exact"/>
              <w:rPr>
                <w:sz w:val="20"/>
                <w:szCs w:val="20"/>
                <w:color w:val="auto"/>
              </w:rPr>
            </w:pPr>
            <w:r>
              <w:rPr>
                <w:rFonts w:ascii="Arial" w:cs="Arial" w:eastAsia="Arial" w:hAnsi="Arial"/>
                <w:sz w:val="14"/>
                <w:szCs w:val="14"/>
                <w:color w:val="auto"/>
                <w:w w:val="92"/>
              </w:rPr>
              <w:t>HB Gross</w:t>
            </w:r>
          </w:p>
        </w:tc>
        <w:tc>
          <w:tcPr>
            <w:tcW w:w="120" w:type="dxa"/>
            <w:vAlign w:val="bottom"/>
          </w:tcPr>
          <w:p>
            <w:pPr>
              <w:spacing w:after="0"/>
              <w:rPr>
                <w:sz w:val="13"/>
                <w:szCs w:val="13"/>
                <w:color w:val="auto"/>
              </w:rPr>
            </w:pPr>
          </w:p>
        </w:tc>
        <w:tc>
          <w:tcPr>
            <w:tcW w:w="1180" w:type="dxa"/>
            <w:vAlign w:val="bottom"/>
            <w:gridSpan w:val="3"/>
          </w:tcPr>
          <w:p>
            <w:pPr>
              <w:jc w:val="center"/>
              <w:ind w:right="140"/>
              <w:spacing w:after="0" w:line="157" w:lineRule="exact"/>
              <w:rPr>
                <w:sz w:val="20"/>
                <w:szCs w:val="20"/>
                <w:color w:val="auto"/>
              </w:rPr>
            </w:pPr>
            <w:r>
              <w:rPr>
                <w:rFonts w:ascii="Arial" w:cs="Arial" w:eastAsia="Arial" w:hAnsi="Arial"/>
                <w:sz w:val="14"/>
                <w:szCs w:val="14"/>
                <w:color w:val="auto"/>
                <w:w w:val="92"/>
              </w:rPr>
              <w:t>HB Gross</w:t>
            </w:r>
          </w:p>
        </w:tc>
        <w:tc>
          <w:tcPr>
            <w:tcW w:w="80" w:type="dxa"/>
            <w:vAlign w:val="bottom"/>
          </w:tcPr>
          <w:p>
            <w:pPr>
              <w:spacing w:after="0"/>
              <w:rPr>
                <w:sz w:val="13"/>
                <w:szCs w:val="13"/>
                <w:color w:val="auto"/>
              </w:rPr>
            </w:pPr>
          </w:p>
        </w:tc>
        <w:tc>
          <w:tcPr>
            <w:tcW w:w="102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w w:val="94"/>
              </w:rPr>
              <w:t>Interest</w:t>
            </w:r>
          </w:p>
        </w:tc>
        <w:tc>
          <w:tcPr>
            <w:tcW w:w="120" w:type="dxa"/>
            <w:vAlign w:val="bottom"/>
          </w:tcPr>
          <w:p>
            <w:pPr>
              <w:spacing w:after="0"/>
              <w:rPr>
                <w:sz w:val="13"/>
                <w:szCs w:val="13"/>
                <w:color w:val="auto"/>
              </w:rPr>
            </w:pPr>
          </w:p>
        </w:tc>
        <w:tc>
          <w:tcPr>
            <w:tcW w:w="1120" w:type="dxa"/>
            <w:vAlign w:val="bottom"/>
          </w:tcPr>
          <w:p>
            <w:pPr>
              <w:jc w:val="center"/>
              <w:ind w:right="48"/>
              <w:spacing w:after="0" w:line="157" w:lineRule="exact"/>
              <w:rPr>
                <w:sz w:val="20"/>
                <w:szCs w:val="20"/>
                <w:color w:val="auto"/>
              </w:rPr>
            </w:pPr>
            <w:r>
              <w:rPr>
                <w:rFonts w:ascii="Arial" w:cs="Arial" w:eastAsia="Arial" w:hAnsi="Arial"/>
                <w:sz w:val="14"/>
                <w:szCs w:val="14"/>
                <w:color w:val="auto"/>
                <w:w w:val="94"/>
              </w:rPr>
              <w:t>HB Gross Profit</w:t>
            </w:r>
          </w:p>
        </w:tc>
        <w:tc>
          <w:tcPr>
            <w:tcW w:w="100" w:type="dxa"/>
            <w:vAlign w:val="bottom"/>
          </w:tcPr>
          <w:p>
            <w:pPr>
              <w:spacing w:after="0"/>
              <w:rPr>
                <w:sz w:val="13"/>
                <w:szCs w:val="13"/>
                <w:color w:val="auto"/>
              </w:rPr>
            </w:pPr>
          </w:p>
        </w:tc>
        <w:tc>
          <w:tcPr>
            <w:tcW w:w="1400" w:type="dxa"/>
            <w:vAlign w:val="bottom"/>
          </w:tcPr>
          <w:p>
            <w:pPr>
              <w:jc w:val="center"/>
              <w:spacing w:after="0" w:line="157" w:lineRule="exact"/>
              <w:rPr>
                <w:sz w:val="20"/>
                <w:szCs w:val="20"/>
                <w:color w:val="auto"/>
              </w:rPr>
            </w:pPr>
            <w:r>
              <w:rPr>
                <w:rFonts w:ascii="Arial" w:cs="Arial" w:eastAsia="Arial" w:hAnsi="Arial"/>
                <w:sz w:val="14"/>
                <w:szCs w:val="14"/>
                <w:color w:val="auto"/>
                <w:w w:val="94"/>
              </w:rPr>
              <w:t>HB Gross Margin</w:t>
            </w:r>
          </w:p>
        </w:tc>
      </w:tr>
      <w:tr>
        <w:trPr>
          <w:trHeight w:val="149"/>
        </w:trPr>
        <w:tc>
          <w:tcPr>
            <w:tcW w:w="140" w:type="dxa"/>
            <w:vAlign w:val="bottom"/>
          </w:tcPr>
          <w:p>
            <w:pPr>
              <w:spacing w:after="0"/>
              <w:rPr>
                <w:sz w:val="12"/>
                <w:szCs w:val="12"/>
                <w:color w:val="auto"/>
              </w:rPr>
            </w:pPr>
          </w:p>
        </w:tc>
        <w:tc>
          <w:tcPr>
            <w:tcW w:w="92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5"/>
              </w:rPr>
              <w:t>HB Gross</w:t>
            </w: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HB Gross</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Abandonments</w:t>
            </w:r>
          </w:p>
        </w:tc>
        <w:tc>
          <w:tcPr>
            <w:tcW w:w="160" w:type="dxa"/>
            <w:vAlign w:val="bottom"/>
          </w:tcPr>
          <w:p>
            <w:pPr>
              <w:spacing w:after="0"/>
              <w:rPr>
                <w:sz w:val="12"/>
                <w:szCs w:val="12"/>
                <w:color w:val="auto"/>
              </w:rPr>
            </w:pPr>
          </w:p>
        </w:tc>
        <w:tc>
          <w:tcPr>
            <w:tcW w:w="84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9"/>
              </w:rPr>
              <w:t>Profit w/o</w:t>
            </w:r>
          </w:p>
        </w:tc>
        <w:tc>
          <w:tcPr>
            <w:tcW w:w="120" w:type="dxa"/>
            <w:vAlign w:val="bottom"/>
          </w:tcPr>
          <w:p>
            <w:pPr>
              <w:spacing w:after="0"/>
              <w:rPr>
                <w:sz w:val="12"/>
                <w:szCs w:val="12"/>
                <w:color w:val="auto"/>
              </w:rPr>
            </w:pPr>
          </w:p>
        </w:tc>
        <w:tc>
          <w:tcPr>
            <w:tcW w:w="11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9"/>
              </w:rPr>
              <w:t>Margin w/o</w:t>
            </w: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Amortized to</w:t>
            </w:r>
          </w:p>
        </w:tc>
        <w:tc>
          <w:tcPr>
            <w:tcW w:w="120" w:type="dxa"/>
            <w:vAlign w:val="bottom"/>
          </w:tcPr>
          <w:p>
            <w:pPr>
              <w:spacing w:after="0"/>
              <w:rPr>
                <w:sz w:val="12"/>
                <w:szCs w:val="12"/>
                <w:color w:val="auto"/>
              </w:rPr>
            </w:pPr>
          </w:p>
        </w:tc>
        <w:tc>
          <w:tcPr>
            <w:tcW w:w="1120" w:type="dxa"/>
            <w:vAlign w:val="bottom"/>
          </w:tcPr>
          <w:p>
            <w:pPr>
              <w:jc w:val="center"/>
              <w:ind w:right="48"/>
              <w:spacing w:after="0" w:line="149" w:lineRule="exact"/>
              <w:rPr>
                <w:sz w:val="20"/>
                <w:szCs w:val="20"/>
                <w:color w:val="auto"/>
              </w:rPr>
            </w:pPr>
            <w:r>
              <w:rPr>
                <w:rFonts w:ascii="Arial" w:cs="Arial" w:eastAsia="Arial" w:hAnsi="Arial"/>
                <w:sz w:val="14"/>
                <w:szCs w:val="14"/>
                <w:color w:val="auto"/>
              </w:rPr>
              <w:t>w/o I&amp;A and</w:t>
            </w:r>
          </w:p>
        </w:tc>
        <w:tc>
          <w:tcPr>
            <w:tcW w:w="1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rPr>
              <w:t>w/o I&amp;A and</w:t>
            </w:r>
          </w:p>
        </w:tc>
      </w:tr>
      <w:tr>
        <w:trPr>
          <w:trHeight w:val="188"/>
        </w:trPr>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8"/>
              </w:rPr>
              <w:t>Profit (Loss)</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Margin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(I&amp;A)</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I&amp;A</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I&amp;A</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2"/>
              </w:rPr>
              <w:t>COS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4"/>
              </w:rPr>
              <w:t>Interest</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Interest</w:t>
            </w:r>
          </w:p>
        </w:tc>
      </w:tr>
      <w:tr>
        <w:trPr>
          <w:trHeight w:val="244"/>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7,023</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1,603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8,626</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8,626</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16.1%</w:t>
            </w:r>
          </w:p>
        </w:tc>
      </w:tr>
      <w:tr>
        <w:trPr>
          <w:trHeight w:val="270"/>
        </w:trPr>
        <w:tc>
          <w:tcPr>
            <w:tcW w:w="1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10,645</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1,221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11,866</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11,866</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15.6%</w:t>
            </w:r>
          </w:p>
        </w:tc>
      </w:tr>
      <w:tr>
        <w:trPr>
          <w:trHeight w:val="270"/>
        </w:trPr>
        <w:tc>
          <w:tcPr>
            <w:tcW w:w="1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3,141</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3,515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6,656</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6,656</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17.2%</w:t>
            </w:r>
          </w:p>
        </w:tc>
      </w:tr>
      <w:tr>
        <w:trPr>
          <w:trHeight w:val="276"/>
        </w:trPr>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(8,932)</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(8,401)</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11,179</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2,778</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6"/>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11,877</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6,870</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18,747</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11,179</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29,926</w:t>
            </w:r>
          </w:p>
        </w:tc>
        <w:tc>
          <w:tcPr>
            <w:tcW w:w="100" w:type="dxa"/>
            <w:vAlign w:val="bottom"/>
            <w:tcBorders>
              <w:bottom w:val="single" w:sz="8" w:color="auto"/>
            </w:tcBorders>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17.8%</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501"/>
        </w:trPr>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center"/>
              <w:ind w:left="8"/>
              <w:spacing w:after="0"/>
              <w:rPr>
                <w:sz w:val="20"/>
                <w:szCs w:val="20"/>
                <w:color w:val="auto"/>
              </w:rPr>
            </w:pPr>
            <w:r>
              <w:rPr>
                <w:rFonts w:ascii="Arial" w:cs="Arial" w:eastAsia="Arial" w:hAnsi="Arial"/>
                <w:sz w:val="14"/>
                <w:szCs w:val="14"/>
                <w:b w:val="1"/>
                <w:bCs w:val="1"/>
                <w:color w:val="auto"/>
                <w:w w:val="93"/>
              </w:rPr>
              <w:t>Nine Months Ended June 30, 2012</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156"/>
        </w:trPr>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7"/>
              </w:rPr>
              <w:t>Impairments &amp;</w:t>
            </w:r>
          </w:p>
        </w:tc>
        <w:tc>
          <w:tcPr>
            <w:tcW w:w="160" w:type="dxa"/>
            <w:vAlign w:val="bottom"/>
          </w:tcPr>
          <w:p>
            <w:pPr>
              <w:spacing w:after="0"/>
              <w:rPr>
                <w:sz w:val="13"/>
                <w:szCs w:val="13"/>
                <w:color w:val="auto"/>
              </w:rPr>
            </w:pPr>
          </w:p>
        </w:tc>
        <w:tc>
          <w:tcPr>
            <w:tcW w:w="840" w:type="dxa"/>
            <w:vAlign w:val="bottom"/>
          </w:tcPr>
          <w:p>
            <w:pPr>
              <w:jc w:val="center"/>
              <w:ind w:right="88"/>
              <w:spacing w:after="0" w:line="157" w:lineRule="exact"/>
              <w:rPr>
                <w:sz w:val="20"/>
                <w:szCs w:val="20"/>
                <w:color w:val="auto"/>
              </w:rPr>
            </w:pPr>
            <w:r>
              <w:rPr>
                <w:rFonts w:ascii="Arial" w:cs="Arial" w:eastAsia="Arial" w:hAnsi="Arial"/>
                <w:sz w:val="14"/>
                <w:szCs w:val="14"/>
                <w:color w:val="auto"/>
                <w:w w:val="92"/>
              </w:rPr>
              <w:t>HB Gross</w:t>
            </w:r>
          </w:p>
        </w:tc>
        <w:tc>
          <w:tcPr>
            <w:tcW w:w="120" w:type="dxa"/>
            <w:vAlign w:val="bottom"/>
          </w:tcPr>
          <w:p>
            <w:pPr>
              <w:spacing w:after="0"/>
              <w:rPr>
                <w:sz w:val="13"/>
                <w:szCs w:val="13"/>
                <w:color w:val="auto"/>
              </w:rPr>
            </w:pPr>
          </w:p>
        </w:tc>
        <w:tc>
          <w:tcPr>
            <w:tcW w:w="1180" w:type="dxa"/>
            <w:vAlign w:val="bottom"/>
            <w:gridSpan w:val="3"/>
          </w:tcPr>
          <w:p>
            <w:pPr>
              <w:jc w:val="center"/>
              <w:ind w:right="140"/>
              <w:spacing w:after="0" w:line="157" w:lineRule="exact"/>
              <w:rPr>
                <w:sz w:val="20"/>
                <w:szCs w:val="20"/>
                <w:color w:val="auto"/>
              </w:rPr>
            </w:pPr>
            <w:r>
              <w:rPr>
                <w:rFonts w:ascii="Arial" w:cs="Arial" w:eastAsia="Arial" w:hAnsi="Arial"/>
                <w:sz w:val="14"/>
                <w:szCs w:val="14"/>
                <w:color w:val="auto"/>
                <w:w w:val="92"/>
              </w:rPr>
              <w:t>HB Gross</w:t>
            </w:r>
          </w:p>
        </w:tc>
        <w:tc>
          <w:tcPr>
            <w:tcW w:w="80" w:type="dxa"/>
            <w:vAlign w:val="bottom"/>
          </w:tcPr>
          <w:p>
            <w:pPr>
              <w:spacing w:after="0"/>
              <w:rPr>
                <w:sz w:val="13"/>
                <w:szCs w:val="13"/>
                <w:color w:val="auto"/>
              </w:rPr>
            </w:pPr>
          </w:p>
        </w:tc>
        <w:tc>
          <w:tcPr>
            <w:tcW w:w="102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w w:val="94"/>
              </w:rPr>
              <w:t>Interest</w:t>
            </w:r>
          </w:p>
        </w:tc>
        <w:tc>
          <w:tcPr>
            <w:tcW w:w="120" w:type="dxa"/>
            <w:vAlign w:val="bottom"/>
          </w:tcPr>
          <w:p>
            <w:pPr>
              <w:spacing w:after="0"/>
              <w:rPr>
                <w:sz w:val="13"/>
                <w:szCs w:val="13"/>
                <w:color w:val="auto"/>
              </w:rPr>
            </w:pPr>
          </w:p>
        </w:tc>
        <w:tc>
          <w:tcPr>
            <w:tcW w:w="1120" w:type="dxa"/>
            <w:vAlign w:val="bottom"/>
          </w:tcPr>
          <w:p>
            <w:pPr>
              <w:jc w:val="center"/>
              <w:ind w:right="48"/>
              <w:spacing w:after="0" w:line="157" w:lineRule="exact"/>
              <w:rPr>
                <w:sz w:val="20"/>
                <w:szCs w:val="20"/>
                <w:color w:val="auto"/>
              </w:rPr>
            </w:pPr>
            <w:r>
              <w:rPr>
                <w:rFonts w:ascii="Arial" w:cs="Arial" w:eastAsia="Arial" w:hAnsi="Arial"/>
                <w:sz w:val="14"/>
                <w:szCs w:val="14"/>
                <w:color w:val="auto"/>
                <w:w w:val="94"/>
              </w:rPr>
              <w:t>HB Gross Profit</w:t>
            </w:r>
          </w:p>
        </w:tc>
        <w:tc>
          <w:tcPr>
            <w:tcW w:w="100" w:type="dxa"/>
            <w:vAlign w:val="bottom"/>
          </w:tcPr>
          <w:p>
            <w:pPr>
              <w:spacing w:after="0"/>
              <w:rPr>
                <w:sz w:val="13"/>
                <w:szCs w:val="13"/>
                <w:color w:val="auto"/>
              </w:rPr>
            </w:pPr>
          </w:p>
        </w:tc>
        <w:tc>
          <w:tcPr>
            <w:tcW w:w="1400" w:type="dxa"/>
            <w:vAlign w:val="bottom"/>
          </w:tcPr>
          <w:p>
            <w:pPr>
              <w:jc w:val="center"/>
              <w:spacing w:after="0" w:line="157" w:lineRule="exact"/>
              <w:rPr>
                <w:sz w:val="20"/>
                <w:szCs w:val="20"/>
                <w:color w:val="auto"/>
              </w:rPr>
            </w:pPr>
            <w:r>
              <w:rPr>
                <w:rFonts w:ascii="Arial" w:cs="Arial" w:eastAsia="Arial" w:hAnsi="Arial"/>
                <w:sz w:val="14"/>
                <w:szCs w:val="14"/>
                <w:color w:val="auto"/>
                <w:w w:val="94"/>
              </w:rPr>
              <w:t>HB Gross Margin</w:t>
            </w:r>
          </w:p>
        </w:tc>
      </w:tr>
      <w:tr>
        <w:trPr>
          <w:trHeight w:val="149"/>
        </w:trPr>
        <w:tc>
          <w:tcPr>
            <w:tcW w:w="140" w:type="dxa"/>
            <w:vAlign w:val="bottom"/>
          </w:tcPr>
          <w:p>
            <w:pPr>
              <w:spacing w:after="0"/>
              <w:rPr>
                <w:sz w:val="12"/>
                <w:szCs w:val="12"/>
                <w:color w:val="auto"/>
              </w:rPr>
            </w:pPr>
          </w:p>
        </w:tc>
        <w:tc>
          <w:tcPr>
            <w:tcW w:w="92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5"/>
              </w:rPr>
              <w:t>HB Gross</w:t>
            </w: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HB Gross</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Abandonments</w:t>
            </w:r>
          </w:p>
        </w:tc>
        <w:tc>
          <w:tcPr>
            <w:tcW w:w="160" w:type="dxa"/>
            <w:vAlign w:val="bottom"/>
          </w:tcPr>
          <w:p>
            <w:pPr>
              <w:spacing w:after="0"/>
              <w:rPr>
                <w:sz w:val="12"/>
                <w:szCs w:val="12"/>
                <w:color w:val="auto"/>
              </w:rPr>
            </w:pPr>
          </w:p>
        </w:tc>
        <w:tc>
          <w:tcPr>
            <w:tcW w:w="84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9"/>
              </w:rPr>
              <w:t>Profit w/o</w:t>
            </w:r>
          </w:p>
        </w:tc>
        <w:tc>
          <w:tcPr>
            <w:tcW w:w="120" w:type="dxa"/>
            <w:vAlign w:val="bottom"/>
          </w:tcPr>
          <w:p>
            <w:pPr>
              <w:spacing w:after="0"/>
              <w:rPr>
                <w:sz w:val="12"/>
                <w:szCs w:val="12"/>
                <w:color w:val="auto"/>
              </w:rPr>
            </w:pPr>
          </w:p>
        </w:tc>
        <w:tc>
          <w:tcPr>
            <w:tcW w:w="11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9"/>
              </w:rPr>
              <w:t>Margin w/o</w:t>
            </w: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Amortized to</w:t>
            </w:r>
          </w:p>
        </w:tc>
        <w:tc>
          <w:tcPr>
            <w:tcW w:w="120" w:type="dxa"/>
            <w:vAlign w:val="bottom"/>
          </w:tcPr>
          <w:p>
            <w:pPr>
              <w:spacing w:after="0"/>
              <w:rPr>
                <w:sz w:val="12"/>
                <w:szCs w:val="12"/>
                <w:color w:val="auto"/>
              </w:rPr>
            </w:pPr>
          </w:p>
        </w:tc>
        <w:tc>
          <w:tcPr>
            <w:tcW w:w="1120" w:type="dxa"/>
            <w:vAlign w:val="bottom"/>
          </w:tcPr>
          <w:p>
            <w:pPr>
              <w:jc w:val="center"/>
              <w:ind w:right="48"/>
              <w:spacing w:after="0" w:line="149" w:lineRule="exact"/>
              <w:rPr>
                <w:sz w:val="20"/>
                <w:szCs w:val="20"/>
                <w:color w:val="auto"/>
              </w:rPr>
            </w:pPr>
            <w:r>
              <w:rPr>
                <w:rFonts w:ascii="Arial" w:cs="Arial" w:eastAsia="Arial" w:hAnsi="Arial"/>
                <w:sz w:val="14"/>
                <w:szCs w:val="14"/>
                <w:color w:val="auto"/>
              </w:rPr>
              <w:t>w/o I&amp;A and</w:t>
            </w:r>
          </w:p>
        </w:tc>
        <w:tc>
          <w:tcPr>
            <w:tcW w:w="1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rPr>
              <w:t>w/o I&amp;A and</w:t>
            </w:r>
          </w:p>
        </w:tc>
      </w:tr>
      <w:tr>
        <w:trPr>
          <w:trHeight w:val="188"/>
        </w:trPr>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8"/>
              </w:rPr>
              <w:t>Profit (Loss)</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Margin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(I&amp;A)</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I&amp;A</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I&amp;A</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2"/>
              </w:rPr>
              <w:t>COS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4"/>
              </w:rPr>
              <w:t>Interest</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Interest</w:t>
            </w:r>
          </w:p>
        </w:tc>
      </w:tr>
      <w:tr>
        <w:trPr>
          <w:trHeight w:val="244"/>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37,564</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3,979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41,543</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41,543</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16.9%</w:t>
            </w:r>
          </w:p>
        </w:tc>
      </w:tr>
      <w:tr>
        <w:trPr>
          <w:trHeight w:val="270"/>
        </w:trPr>
        <w:tc>
          <w:tcPr>
            <w:tcW w:w="1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30,431</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4,383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34,814</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34,814</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13.6%</w:t>
            </w:r>
          </w:p>
        </w:tc>
      </w:tr>
      <w:tr>
        <w:trPr>
          <w:trHeight w:val="270"/>
        </w:trPr>
        <w:tc>
          <w:tcPr>
            <w:tcW w:w="1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21,277</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1,655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22,932</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22,932</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18.0%</w:t>
            </w:r>
          </w:p>
        </w:tc>
      </w:tr>
      <w:tr>
        <w:trPr>
          <w:trHeight w:val="276"/>
        </w:trPr>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(27,797)</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(27,322)</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41,128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13,806</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6"/>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61,475</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10,492</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71,967</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41,128</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113,095</w:t>
            </w:r>
          </w:p>
        </w:tc>
        <w:tc>
          <w:tcPr>
            <w:tcW w:w="100" w:type="dxa"/>
            <w:vAlign w:val="bottom"/>
            <w:tcBorders>
              <w:bottom w:val="single" w:sz="8" w:color="auto"/>
            </w:tcBorders>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501"/>
        </w:trPr>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jc w:val="center"/>
              <w:ind w:left="68"/>
              <w:spacing w:after="0"/>
              <w:rPr>
                <w:sz w:val="20"/>
                <w:szCs w:val="20"/>
                <w:color w:val="auto"/>
              </w:rPr>
            </w:pPr>
            <w:r>
              <w:rPr>
                <w:rFonts w:ascii="Arial" w:cs="Arial" w:eastAsia="Arial" w:hAnsi="Arial"/>
                <w:sz w:val="14"/>
                <w:szCs w:val="14"/>
                <w:color w:val="auto"/>
                <w:w w:val="92"/>
              </w:rPr>
              <w:t>Nine Months Ended June 30, 2011</w:t>
            </w: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156"/>
        </w:trPr>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7"/>
              </w:rPr>
              <w:t>Impairments &amp;</w:t>
            </w:r>
          </w:p>
        </w:tc>
        <w:tc>
          <w:tcPr>
            <w:tcW w:w="160" w:type="dxa"/>
            <w:vAlign w:val="bottom"/>
          </w:tcPr>
          <w:p>
            <w:pPr>
              <w:spacing w:after="0"/>
              <w:rPr>
                <w:sz w:val="13"/>
                <w:szCs w:val="13"/>
                <w:color w:val="auto"/>
              </w:rPr>
            </w:pPr>
          </w:p>
        </w:tc>
        <w:tc>
          <w:tcPr>
            <w:tcW w:w="840" w:type="dxa"/>
            <w:vAlign w:val="bottom"/>
          </w:tcPr>
          <w:p>
            <w:pPr>
              <w:jc w:val="center"/>
              <w:ind w:right="88"/>
              <w:spacing w:after="0" w:line="157" w:lineRule="exact"/>
              <w:rPr>
                <w:sz w:val="20"/>
                <w:szCs w:val="20"/>
                <w:color w:val="auto"/>
              </w:rPr>
            </w:pPr>
            <w:r>
              <w:rPr>
                <w:rFonts w:ascii="Arial" w:cs="Arial" w:eastAsia="Arial" w:hAnsi="Arial"/>
                <w:sz w:val="14"/>
                <w:szCs w:val="14"/>
                <w:color w:val="auto"/>
                <w:w w:val="92"/>
              </w:rPr>
              <w:t>HB Gross</w:t>
            </w:r>
          </w:p>
        </w:tc>
        <w:tc>
          <w:tcPr>
            <w:tcW w:w="120" w:type="dxa"/>
            <w:vAlign w:val="bottom"/>
          </w:tcPr>
          <w:p>
            <w:pPr>
              <w:spacing w:after="0"/>
              <w:rPr>
                <w:sz w:val="13"/>
                <w:szCs w:val="13"/>
                <w:color w:val="auto"/>
              </w:rPr>
            </w:pPr>
          </w:p>
        </w:tc>
        <w:tc>
          <w:tcPr>
            <w:tcW w:w="1180" w:type="dxa"/>
            <w:vAlign w:val="bottom"/>
            <w:gridSpan w:val="3"/>
          </w:tcPr>
          <w:p>
            <w:pPr>
              <w:jc w:val="center"/>
              <w:ind w:right="140"/>
              <w:spacing w:after="0" w:line="157" w:lineRule="exact"/>
              <w:rPr>
                <w:sz w:val="20"/>
                <w:szCs w:val="20"/>
                <w:color w:val="auto"/>
              </w:rPr>
            </w:pPr>
            <w:r>
              <w:rPr>
                <w:rFonts w:ascii="Arial" w:cs="Arial" w:eastAsia="Arial" w:hAnsi="Arial"/>
                <w:sz w:val="14"/>
                <w:szCs w:val="14"/>
                <w:color w:val="auto"/>
                <w:w w:val="92"/>
              </w:rPr>
              <w:t>HB Gross</w:t>
            </w:r>
          </w:p>
        </w:tc>
        <w:tc>
          <w:tcPr>
            <w:tcW w:w="80" w:type="dxa"/>
            <w:vAlign w:val="bottom"/>
          </w:tcPr>
          <w:p>
            <w:pPr>
              <w:spacing w:after="0"/>
              <w:rPr>
                <w:sz w:val="13"/>
                <w:szCs w:val="13"/>
                <w:color w:val="auto"/>
              </w:rPr>
            </w:pPr>
          </w:p>
        </w:tc>
        <w:tc>
          <w:tcPr>
            <w:tcW w:w="102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w w:val="94"/>
              </w:rPr>
              <w:t>Interest</w:t>
            </w:r>
          </w:p>
        </w:tc>
        <w:tc>
          <w:tcPr>
            <w:tcW w:w="120" w:type="dxa"/>
            <w:vAlign w:val="bottom"/>
          </w:tcPr>
          <w:p>
            <w:pPr>
              <w:spacing w:after="0"/>
              <w:rPr>
                <w:sz w:val="13"/>
                <w:szCs w:val="13"/>
                <w:color w:val="auto"/>
              </w:rPr>
            </w:pPr>
          </w:p>
        </w:tc>
        <w:tc>
          <w:tcPr>
            <w:tcW w:w="1120" w:type="dxa"/>
            <w:vAlign w:val="bottom"/>
          </w:tcPr>
          <w:p>
            <w:pPr>
              <w:jc w:val="center"/>
              <w:ind w:right="48"/>
              <w:spacing w:after="0" w:line="157" w:lineRule="exact"/>
              <w:rPr>
                <w:sz w:val="20"/>
                <w:szCs w:val="20"/>
                <w:color w:val="auto"/>
              </w:rPr>
            </w:pPr>
            <w:r>
              <w:rPr>
                <w:rFonts w:ascii="Arial" w:cs="Arial" w:eastAsia="Arial" w:hAnsi="Arial"/>
                <w:sz w:val="14"/>
                <w:szCs w:val="14"/>
                <w:color w:val="auto"/>
                <w:w w:val="94"/>
              </w:rPr>
              <w:t>HB Gross Profit</w:t>
            </w:r>
          </w:p>
        </w:tc>
        <w:tc>
          <w:tcPr>
            <w:tcW w:w="100" w:type="dxa"/>
            <w:vAlign w:val="bottom"/>
          </w:tcPr>
          <w:p>
            <w:pPr>
              <w:spacing w:after="0"/>
              <w:rPr>
                <w:sz w:val="13"/>
                <w:szCs w:val="13"/>
                <w:color w:val="auto"/>
              </w:rPr>
            </w:pPr>
          </w:p>
        </w:tc>
        <w:tc>
          <w:tcPr>
            <w:tcW w:w="1400" w:type="dxa"/>
            <w:vAlign w:val="bottom"/>
          </w:tcPr>
          <w:p>
            <w:pPr>
              <w:jc w:val="center"/>
              <w:spacing w:after="0" w:line="157" w:lineRule="exact"/>
              <w:rPr>
                <w:sz w:val="20"/>
                <w:szCs w:val="20"/>
                <w:color w:val="auto"/>
              </w:rPr>
            </w:pPr>
            <w:r>
              <w:rPr>
                <w:rFonts w:ascii="Arial" w:cs="Arial" w:eastAsia="Arial" w:hAnsi="Arial"/>
                <w:sz w:val="14"/>
                <w:szCs w:val="14"/>
                <w:color w:val="auto"/>
                <w:w w:val="94"/>
              </w:rPr>
              <w:t>HB Gross Margin</w:t>
            </w:r>
          </w:p>
        </w:tc>
      </w:tr>
      <w:tr>
        <w:trPr>
          <w:trHeight w:val="149"/>
        </w:trPr>
        <w:tc>
          <w:tcPr>
            <w:tcW w:w="140" w:type="dxa"/>
            <w:vAlign w:val="bottom"/>
          </w:tcPr>
          <w:p>
            <w:pPr>
              <w:spacing w:after="0"/>
              <w:rPr>
                <w:sz w:val="12"/>
                <w:szCs w:val="12"/>
                <w:color w:val="auto"/>
              </w:rPr>
            </w:pPr>
          </w:p>
        </w:tc>
        <w:tc>
          <w:tcPr>
            <w:tcW w:w="92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5"/>
              </w:rPr>
              <w:t>HB Gross</w:t>
            </w: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HB Gross</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Abandonments</w:t>
            </w:r>
          </w:p>
        </w:tc>
        <w:tc>
          <w:tcPr>
            <w:tcW w:w="160" w:type="dxa"/>
            <w:vAlign w:val="bottom"/>
          </w:tcPr>
          <w:p>
            <w:pPr>
              <w:spacing w:after="0"/>
              <w:rPr>
                <w:sz w:val="12"/>
                <w:szCs w:val="12"/>
                <w:color w:val="auto"/>
              </w:rPr>
            </w:pPr>
          </w:p>
        </w:tc>
        <w:tc>
          <w:tcPr>
            <w:tcW w:w="84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9"/>
              </w:rPr>
              <w:t>Profit w/o</w:t>
            </w:r>
          </w:p>
        </w:tc>
        <w:tc>
          <w:tcPr>
            <w:tcW w:w="120" w:type="dxa"/>
            <w:vAlign w:val="bottom"/>
          </w:tcPr>
          <w:p>
            <w:pPr>
              <w:spacing w:after="0"/>
              <w:rPr>
                <w:sz w:val="12"/>
                <w:szCs w:val="12"/>
                <w:color w:val="auto"/>
              </w:rPr>
            </w:pPr>
          </w:p>
        </w:tc>
        <w:tc>
          <w:tcPr>
            <w:tcW w:w="11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9"/>
              </w:rPr>
              <w:t>Margin w/o</w:t>
            </w: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Amortized to</w:t>
            </w:r>
          </w:p>
        </w:tc>
        <w:tc>
          <w:tcPr>
            <w:tcW w:w="120" w:type="dxa"/>
            <w:vAlign w:val="bottom"/>
          </w:tcPr>
          <w:p>
            <w:pPr>
              <w:spacing w:after="0"/>
              <w:rPr>
                <w:sz w:val="12"/>
                <w:szCs w:val="12"/>
                <w:color w:val="auto"/>
              </w:rPr>
            </w:pPr>
          </w:p>
        </w:tc>
        <w:tc>
          <w:tcPr>
            <w:tcW w:w="1120" w:type="dxa"/>
            <w:vAlign w:val="bottom"/>
          </w:tcPr>
          <w:p>
            <w:pPr>
              <w:jc w:val="center"/>
              <w:ind w:right="48"/>
              <w:spacing w:after="0" w:line="149" w:lineRule="exact"/>
              <w:rPr>
                <w:sz w:val="20"/>
                <w:szCs w:val="20"/>
                <w:color w:val="auto"/>
              </w:rPr>
            </w:pPr>
            <w:r>
              <w:rPr>
                <w:rFonts w:ascii="Arial" w:cs="Arial" w:eastAsia="Arial" w:hAnsi="Arial"/>
                <w:sz w:val="14"/>
                <w:szCs w:val="14"/>
                <w:color w:val="auto"/>
              </w:rPr>
              <w:t>w/o I&amp;A and</w:t>
            </w:r>
          </w:p>
        </w:tc>
        <w:tc>
          <w:tcPr>
            <w:tcW w:w="1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rPr>
              <w:t>w/o I&amp;A and</w:t>
            </w:r>
          </w:p>
        </w:tc>
      </w:tr>
      <w:tr>
        <w:trPr>
          <w:trHeight w:val="188"/>
        </w:trPr>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8"/>
              </w:rPr>
              <w:t>Profit (Loss)</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Margin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(I&amp;A)</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I&amp;A</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I&amp;A</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2"/>
              </w:rPr>
              <w:t>COS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4"/>
              </w:rPr>
              <w:t>Interest</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Interest</w:t>
            </w:r>
          </w:p>
        </w:tc>
      </w:tr>
      <w:tr>
        <w:trPr>
          <w:trHeight w:val="244"/>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2,609</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17,621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20,230</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20,230</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15.7%</w:t>
            </w:r>
          </w:p>
        </w:tc>
      </w:tr>
      <w:tr>
        <w:trPr>
          <w:trHeight w:val="270"/>
        </w:trPr>
        <w:tc>
          <w:tcPr>
            <w:tcW w:w="1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26,479</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28,062</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28,062</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15.4%</w:t>
            </w:r>
          </w:p>
        </w:tc>
      </w:tr>
      <w:tr>
        <w:trPr>
          <w:trHeight w:val="270"/>
        </w:trPr>
        <w:tc>
          <w:tcPr>
            <w:tcW w:w="1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10,520</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3,988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14,508</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14,508</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16.6%</w:t>
            </w:r>
          </w:p>
        </w:tc>
      </w:tr>
      <w:tr>
        <w:trPr>
          <w:trHeight w:val="276"/>
        </w:trPr>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(19,481)</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2,139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(17,342)</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26,352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9,010</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20,127</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25,331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45,458</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26,352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71,810</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18.0%</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-5496560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-5153660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-4810125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-3961130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-3618230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-3275330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-2417445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-2074545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-1731645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-874395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-530860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-1086485</wp:posOffset>
            </wp:positionH>
            <wp:positionV relativeFrom="paragraph">
              <wp:posOffset>-187960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60" w:space="260"/>
            <w:col w:w="9700"/>
          </w:cols>
          <w:pgMar w:left="240" w:top="122" w:right="239" w:bottom="1440" w:gutter="0" w:footer="0" w:header="0"/>
        </w:sectPr>
      </w:pPr>
    </w:p>
    <w:p>
      <w:pPr>
        <w:spacing w:after="0" w:line="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Our overall homebuilding gross margin without interest and impairments was consistent for the nine months ended June 30, 2012 and 2011. As compared to the prior year, our homebuilding gross margins excluding impairments for the three and nine months ended increased in the West and Southeast segments primarily due to the impact of increased closings and ASP and decreased incentives, enabling us to better leverage certain fixed costs. These increases were partially offset by a decrease in our homebuilding gross margins excluding impairments in the East segment. The decreased margins in the East segment is related to changes in product and community mix and, to a lesser extent, to pricing/feature changes made in certain of our markets to drive absorptions and address consumer demand. Our overall gross margins are impacted by the volatility inherent in changes in estimates for product liability expenditures that do not relate to current period closings. The changes in these estimates, included in corporate and unallocated gross profit above, were the primary driver of our decreased overall gross margin without interest and impairments for the quarter ended June 30, 2012 as compared to the prior year.</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the nine months ended June 30, 2012, our corporate and unallocated gross profit without I&amp;A and interest reflects a benefit from an $11 million insurance recovery related to previously recorded water intrusion warranty related expenditures. In addition, our East segment benefited from a $1.4 million warranty recovery during the nine months ended June 30, 2011. These warranty recoveries year-to-date in fiscal 2012 and 2011 contributed 180 bps and 30 bps to our homebuilding gross margins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122" w:right="23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without I&amp;A and interest, respectively.</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a given quarter, our reported gross margins arise from both communities previously impaired and communities not previously impaired. In addition as indicated above, certain gross margin amounts arise from recoveries of prior period costs, including warranty items that are not directly tied to communities generating revenue in the period. Home closings from communities previously impaired would, in most instances, generate very low or negative gross margins prior to the impact of the previously recognized impairment. Gross margins at each home closing are higher for a particular community after an impairment because the carrying value of the underlying land was previously reduced to the present value of future cash flows as a result of the impairment, leading to lower cost of sales at the home closing. This improvement in gross margin resulting from one or more prior impairments is frequently referred to in the aggregate as the “impairment turn” or “flow-back” of impairments within the reporting period. The amount of this impairment turn may exceed the gross margin for an individual impaired asset if the gross margin for that asset prior to the impairment would have been negative. The extent to which this impairment turn is greater than the reported gross margin for the individual asset is related to the specific historical cost basis of that individual asset.</w:t>
      </w:r>
    </w:p>
    <w:p>
      <w:pPr>
        <w:spacing w:after="0" w:line="11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asset valuations which result from our impairment calculations are based on discounted cash flow analyses and are not derived by simply applying prospective gross margins to individual communities. As such, impaired communities may have gross margins that are somewhat higher or lower than the gross margin for unimpaired communities. The mix of home closings in any particular quarter varies to such an extent that comparisons between previously impaired and never impaired communities would not be a reliable way to ascertain profitability trends or to assess the accuracy of previous valuation estimates. In addition, since any amount of impairment turn is tied to individual lots in specific communities it will vary considerably from period to period. As a result of these factors, we review the impairment turn impact on gross margins on a trailing twelve-month basis rather than a quarterly basis as a way of considering whether our impairment calculations are resulting in gross margins for impaired communities that are comparable to our unimpaired communities. For the trailing 12-month period, the homebuilding gross margin from our continuing operations was 9.1% and excluding interest and inventory impairments, it was 17.4%. Excluding the aforementioned warranty recovery, our trailing 12-month homebuilding gross margin without I&amp;A and interest would have been 16.2%. For the same trailing 12-month period, homebuilding gross margins were as follows in those communities that have previously been impaired:</w:t>
      </w: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Homebuilding Gross Margin from previously impaired communities:</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480" w:type="dxa"/>
            <w:vAlign w:val="bottom"/>
          </w:tcPr>
          <w:p>
            <w:pPr>
              <w:ind w:left="340"/>
              <w:spacing w:after="0"/>
              <w:rPr>
                <w:sz w:val="20"/>
                <w:szCs w:val="20"/>
                <w:color w:val="auto"/>
              </w:rPr>
            </w:pPr>
            <w:r>
              <w:rPr>
                <w:rFonts w:ascii="Arial" w:cs="Arial" w:eastAsia="Arial" w:hAnsi="Arial"/>
                <w:sz w:val="18"/>
                <w:szCs w:val="18"/>
                <w:color w:val="auto"/>
              </w:rPr>
              <w:t>Pre-impairment turn gross margin</w:t>
            </w:r>
          </w:p>
        </w:tc>
        <w:tc>
          <w:tcPr>
            <w:tcW w:w="156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0"/>
        </w:trPr>
        <w:tc>
          <w:tcPr>
            <w:tcW w:w="9480" w:type="dxa"/>
            <w:vAlign w:val="bottom"/>
          </w:tcPr>
          <w:p>
            <w:pPr>
              <w:ind w:left="340"/>
              <w:spacing w:after="0"/>
              <w:rPr>
                <w:sz w:val="20"/>
                <w:szCs w:val="20"/>
                <w:color w:val="auto"/>
              </w:rPr>
            </w:pPr>
            <w:r>
              <w:rPr>
                <w:rFonts w:ascii="Arial" w:cs="Arial" w:eastAsia="Arial" w:hAnsi="Arial"/>
                <w:sz w:val="18"/>
                <w:szCs w:val="18"/>
                <w:color w:val="auto"/>
              </w:rPr>
              <w:t>Impact of interest amortized to COS related to these communities</w:t>
            </w:r>
          </w:p>
        </w:tc>
        <w:tc>
          <w:tcPr>
            <w:tcW w:w="1560" w:type="dxa"/>
            <w:vAlign w:val="bottom"/>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7"/>
        </w:trPr>
        <w:tc>
          <w:tcPr>
            <w:tcW w:w="9480" w:type="dxa"/>
            <w:vAlign w:val="bottom"/>
            <w:vMerge w:val="restart"/>
          </w:tcPr>
          <w:p>
            <w:pPr>
              <w:ind w:left="340"/>
              <w:spacing w:after="0"/>
              <w:rPr>
                <w:sz w:val="20"/>
                <w:szCs w:val="20"/>
                <w:color w:val="auto"/>
              </w:rPr>
            </w:pPr>
            <w:r>
              <w:rPr>
                <w:rFonts w:ascii="Arial" w:cs="Arial" w:eastAsia="Arial" w:hAnsi="Arial"/>
                <w:sz w:val="18"/>
                <w:szCs w:val="18"/>
                <w:color w:val="auto"/>
              </w:rPr>
              <w:t>Pre-impairment turn gross margin, excluding interest amortization</w:t>
            </w: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80" w:type="dxa"/>
            <w:vAlign w:val="bottom"/>
            <w:vMerge w:val="continue"/>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0"/>
        </w:trPr>
        <w:tc>
          <w:tcPr>
            <w:tcW w:w="9480" w:type="dxa"/>
            <w:vAlign w:val="bottom"/>
          </w:tcPr>
          <w:p>
            <w:pPr>
              <w:ind w:left="340"/>
              <w:spacing w:after="0"/>
              <w:rPr>
                <w:sz w:val="20"/>
                <w:szCs w:val="20"/>
                <w:color w:val="auto"/>
              </w:rPr>
            </w:pPr>
            <w:r>
              <w:rPr>
                <w:rFonts w:ascii="Arial" w:cs="Arial" w:eastAsia="Arial" w:hAnsi="Arial"/>
                <w:sz w:val="18"/>
                <w:szCs w:val="18"/>
                <w:color w:val="auto"/>
              </w:rPr>
              <w:t>Impact of impairment turns</w:t>
            </w:r>
          </w:p>
        </w:tc>
        <w:tc>
          <w:tcPr>
            <w:tcW w:w="1560" w:type="dxa"/>
            <w:vAlign w:val="bottom"/>
          </w:tcPr>
          <w:p>
            <w:pPr>
              <w:jc w:val="right"/>
              <w:spacing w:after="0"/>
              <w:rPr>
                <w:sz w:val="20"/>
                <w:szCs w:val="20"/>
                <w:color w:val="auto"/>
              </w:rPr>
            </w:pPr>
            <w:r>
              <w:rPr>
                <w:rFonts w:ascii="Arial" w:cs="Arial" w:eastAsia="Arial" w:hAnsi="Arial"/>
                <w:sz w:val="18"/>
                <w:szCs w:val="18"/>
                <w:color w:val="auto"/>
              </w:rPr>
              <w:t>21.9 %</w:t>
            </w:r>
          </w:p>
        </w:tc>
        <w:tc>
          <w:tcPr>
            <w:tcW w:w="0" w:type="dxa"/>
            <w:vAlign w:val="bottom"/>
          </w:tcPr>
          <w:p>
            <w:pPr>
              <w:spacing w:after="0"/>
              <w:rPr>
                <w:sz w:val="1"/>
                <w:szCs w:val="1"/>
                <w:color w:val="auto"/>
              </w:rPr>
            </w:pPr>
          </w:p>
        </w:tc>
      </w:tr>
      <w:tr>
        <w:trPr>
          <w:trHeight w:val="27"/>
        </w:trPr>
        <w:tc>
          <w:tcPr>
            <w:tcW w:w="9480" w:type="dxa"/>
            <w:vAlign w:val="bottom"/>
            <w:vMerge w:val="restart"/>
          </w:tcPr>
          <w:p>
            <w:pPr>
              <w:ind w:left="340"/>
              <w:spacing w:after="0"/>
              <w:rPr>
                <w:sz w:val="20"/>
                <w:szCs w:val="20"/>
                <w:color w:val="auto"/>
              </w:rPr>
            </w:pPr>
            <w:r>
              <w:rPr>
                <w:rFonts w:ascii="Arial" w:cs="Arial" w:eastAsia="Arial" w:hAnsi="Arial"/>
                <w:sz w:val="18"/>
                <w:szCs w:val="18"/>
                <w:color w:val="auto"/>
              </w:rPr>
              <w:t>Gross margin (post impairment turns), excluding interest</w:t>
            </w: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80" w:type="dxa"/>
            <w:vAlign w:val="bottom"/>
            <w:vMerge w:val="continue"/>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 xml:space="preserve">Land Sales and Other Revenues. </w:t>
      </w:r>
      <w:r>
        <w:rPr>
          <w:rFonts w:ascii="Arial" w:cs="Arial" w:eastAsia="Arial" w:hAnsi="Arial"/>
          <w:sz w:val="17"/>
          <w:szCs w:val="17"/>
          <w:color w:val="auto"/>
        </w:rPr>
        <w:t>Land sales relate to land and lots sold that did not fit within our homebuilding programs and strategic plans in these</w:t>
      </w:r>
      <w:r>
        <w:rPr>
          <w:rFonts w:ascii="Arial" w:cs="Arial" w:eastAsia="Arial" w:hAnsi="Arial"/>
          <w:sz w:val="17"/>
          <w:szCs w:val="17"/>
          <w:b w:val="1"/>
          <w:bCs w:val="1"/>
          <w:color w:val="auto"/>
        </w:rPr>
        <w:t xml:space="preserve"> </w:t>
      </w:r>
      <w:r>
        <w:rPr>
          <w:rFonts w:ascii="Arial" w:cs="Arial" w:eastAsia="Arial" w:hAnsi="Arial"/>
          <w:sz w:val="17"/>
          <w:szCs w:val="17"/>
          <w:color w:val="auto"/>
        </w:rPr>
        <w:t>markets. Other revenues include net fees we received for general contractor services we performed on behalf of a third party and broker fees and rental revenues earned by our Pre-Owned operations. The table below summarizes land sales and other revenues and gross profit by reportable segment for the three and nine months ended June 30, 2012 and 2011 (in thousands) - n/m in the table below indicates the percentage is “not meaningful”:</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00"/>
          </w:cols>
          <w:pgMar w:left="240" w:top="122" w:right="259" w:bottom="1440" w:gutter="0" w:footer="0" w:header="0"/>
        </w:sectPr>
      </w:pPr>
    </w:p>
    <w:bookmarkStart w:id="40" w:name="page41"/>
    <w:bookmarkEnd w:id="40"/>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Land Sales &amp; Other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118110</wp:posOffset>
            </wp:positionV>
            <wp:extent cx="27787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38" w:lineRule="exact"/>
        <w:rPr>
          <w:sz w:val="20"/>
          <w:szCs w:val="20"/>
          <w:color w:val="auto"/>
        </w:rPr>
      </w:pPr>
    </w:p>
    <w:p>
      <w:pPr>
        <w:jc w:val="center"/>
        <w:ind w:left="262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23495</wp:posOffset>
            </wp:positionV>
            <wp:extent cx="27787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03" w:lineRule="exact"/>
        <w:rPr>
          <w:sz w:val="20"/>
          <w:szCs w:val="20"/>
          <w:color w:val="auto"/>
        </w:rPr>
      </w:pPr>
    </w:p>
    <w:p>
      <w:pPr>
        <w:ind w:left="3040"/>
        <w:spacing w:after="0"/>
        <w:tabs>
          <w:tab w:leader="none" w:pos="4480" w:val="left"/>
          <w:tab w:leader="none" w:pos="592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color w:val="auto"/>
        </w:rPr>
        <w:t>2011</w:t>
      </w:r>
      <w:r>
        <w:rPr>
          <w:sz w:val="20"/>
          <w:szCs w:val="20"/>
          <w:color w:val="auto"/>
        </w:rPr>
        <w:tab/>
      </w:r>
      <w:r>
        <w:rPr>
          <w:rFonts w:ascii="Arial" w:cs="Arial" w:eastAsia="Arial" w:hAnsi="Arial"/>
          <w:sz w:val="12"/>
          <w:szCs w:val="12"/>
          <w:color w:val="auto"/>
        </w:rPr>
        <w:t>12 v 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Land Sales and Other Gross Profit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118110</wp:posOffset>
            </wp:positionV>
            <wp:extent cx="2804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23495</wp:posOffset>
            </wp:positionV>
            <wp:extent cx="2804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440" w:val="left"/>
          <w:tab w:leader="none" w:pos="290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color w:val="auto"/>
        </w:rPr>
        <w:t>2011</w:t>
      </w:r>
      <w:r>
        <w:rPr>
          <w:sz w:val="20"/>
          <w:szCs w:val="20"/>
          <w:color w:val="auto"/>
        </w:rPr>
        <w:tab/>
      </w:r>
      <w:r>
        <w:rPr>
          <w:rFonts w:ascii="Arial" w:cs="Arial" w:eastAsia="Arial" w:hAnsi="Arial"/>
          <w:sz w:val="12"/>
          <w:szCs w:val="12"/>
          <w:color w:val="auto"/>
        </w:rPr>
        <w:t>12 v 11</w:t>
      </w:r>
    </w:p>
    <w:p>
      <w:pPr>
        <w:spacing w:after="0" w:line="25" w:lineRule="exact"/>
        <w:rPr>
          <w:sz w:val="20"/>
          <w:szCs w:val="20"/>
          <w:color w:val="auto"/>
        </w:rPr>
      </w:pPr>
    </w:p>
    <w:p>
      <w:pPr>
        <w:sectPr>
          <w:pgSz w:w="11900" w:h="16838" w:orient="portrait"/>
          <w:cols w:equalWidth="0" w:num="2">
            <w:col w:w="6820" w:space="720"/>
            <w:col w:w="388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2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w:t>
            </w: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1,736</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1,953</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640</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(99.7)%</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East</w:t>
            </w:r>
          </w:p>
        </w:tc>
        <w:tc>
          <w:tcPr>
            <w:tcW w:w="4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1,669</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(95.2)%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577</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(101.4)%</w:t>
            </w:r>
          </w:p>
        </w:tc>
      </w:tr>
      <w:tr>
        <w:trPr>
          <w:trHeight w:val="27"/>
        </w:trPr>
        <w:tc>
          <w:tcPr>
            <w:tcW w:w="2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Southeast</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Pre-Owned</w:t>
            </w:r>
          </w:p>
        </w:tc>
        <w:tc>
          <w:tcPr>
            <w:tcW w:w="4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205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42.4 %</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(5.0)%</w:t>
            </w:r>
          </w:p>
        </w:tc>
      </w:tr>
      <w:tr>
        <w:trPr>
          <w:trHeight w:val="27"/>
        </w:trPr>
        <w:tc>
          <w:tcPr>
            <w:tcW w:w="25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2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2,484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4,385</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1,958</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(70.6)%</w:t>
            </w:r>
          </w:p>
        </w:tc>
      </w:tr>
      <w:tr>
        <w:trPr>
          <w:trHeight w:val="20"/>
        </w:trPr>
        <w:tc>
          <w:tcPr>
            <w:tcW w:w="2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type w:val="continuous"/>
        </w:sectPr>
      </w:pPr>
    </w:p>
    <w:p>
      <w:pPr>
        <w:spacing w:after="0" w:line="128"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Land Sales &amp; Other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118110</wp:posOffset>
            </wp:positionV>
            <wp:extent cx="27787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38" w:lineRule="exact"/>
        <w:rPr>
          <w:sz w:val="20"/>
          <w:szCs w:val="20"/>
          <w:color w:val="auto"/>
        </w:rPr>
      </w:pPr>
    </w:p>
    <w:p>
      <w:pPr>
        <w:jc w:val="center"/>
        <w:ind w:left="2620"/>
        <w:spacing w:after="0"/>
        <w:rPr>
          <w:sz w:val="20"/>
          <w:szCs w:val="20"/>
          <w:color w:val="auto"/>
        </w:rPr>
      </w:pPr>
      <w:r>
        <w:rPr>
          <w:rFonts w:ascii="Arial" w:cs="Arial" w:eastAsia="Arial" w:hAnsi="Arial"/>
          <w:sz w:val="14"/>
          <w:szCs w:val="14"/>
          <w:b w:val="1"/>
          <w:bCs w:val="1"/>
          <w:color w:val="auto"/>
        </w:rPr>
        <w:t>Nine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23495</wp:posOffset>
            </wp:positionV>
            <wp:extent cx="27787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03" w:lineRule="exact"/>
        <w:rPr>
          <w:sz w:val="20"/>
          <w:szCs w:val="20"/>
          <w:color w:val="auto"/>
        </w:rPr>
      </w:pPr>
    </w:p>
    <w:p>
      <w:pPr>
        <w:ind w:left="3040"/>
        <w:spacing w:after="0"/>
        <w:tabs>
          <w:tab w:leader="none" w:pos="4480" w:val="left"/>
          <w:tab w:leader="none" w:pos="592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color w:val="auto"/>
        </w:rPr>
        <w:t>2011</w:t>
      </w:r>
      <w:r>
        <w:rPr>
          <w:sz w:val="20"/>
          <w:szCs w:val="20"/>
          <w:color w:val="auto"/>
        </w:rPr>
        <w:tab/>
      </w:r>
      <w:r>
        <w:rPr>
          <w:rFonts w:ascii="Arial" w:cs="Arial" w:eastAsia="Arial" w:hAnsi="Arial"/>
          <w:sz w:val="12"/>
          <w:szCs w:val="12"/>
          <w:color w:val="auto"/>
        </w:rPr>
        <w:t>12 v 11</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Land Sales and Other Gross Profit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118110</wp:posOffset>
            </wp:positionV>
            <wp:extent cx="2804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Nine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23495</wp:posOffset>
            </wp:positionV>
            <wp:extent cx="2804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440" w:val="left"/>
          <w:tab w:leader="none" w:pos="290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color w:val="auto"/>
        </w:rPr>
        <w:t>2011</w:t>
      </w:r>
      <w:r>
        <w:rPr>
          <w:sz w:val="20"/>
          <w:szCs w:val="20"/>
          <w:color w:val="auto"/>
        </w:rPr>
        <w:tab/>
      </w:r>
      <w:r>
        <w:rPr>
          <w:rFonts w:ascii="Arial" w:cs="Arial" w:eastAsia="Arial" w:hAnsi="Arial"/>
          <w:sz w:val="12"/>
          <w:szCs w:val="12"/>
          <w:color w:val="auto"/>
        </w:rPr>
        <w:t>12 v 11</w:t>
      </w:r>
    </w:p>
    <w:p>
      <w:pPr>
        <w:spacing w:after="0" w:line="25" w:lineRule="exact"/>
        <w:rPr>
          <w:sz w:val="20"/>
          <w:szCs w:val="20"/>
          <w:color w:val="auto"/>
        </w:rPr>
      </w:pPr>
    </w:p>
    <w:p>
      <w:pPr>
        <w:sectPr>
          <w:pgSz w:w="11900" w:h="16838" w:orient="portrait"/>
          <w:cols w:equalWidth="0" w:num="2">
            <w:col w:w="6820" w:space="720"/>
            <w:col w:w="388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2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w:t>
            </w: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2,306</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2,956</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1,034</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(94.0)%</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East</w:t>
            </w:r>
          </w:p>
        </w:tc>
        <w:tc>
          <w:tcPr>
            <w:tcW w:w="4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421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4,160</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(89.9)%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1,241</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(94.9)%</w:t>
            </w:r>
          </w:p>
        </w:tc>
      </w:tr>
      <w:tr>
        <w:trPr>
          <w:trHeight w:val="27"/>
        </w:trPr>
        <w:tc>
          <w:tcPr>
            <w:tcW w:w="2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Southeast</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75.2 %</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1,238</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19.2 %</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Pre-Owned</w:t>
            </w:r>
          </w:p>
        </w:tc>
        <w:tc>
          <w:tcPr>
            <w:tcW w:w="4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1,114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700" w:type="dxa"/>
            <w:vAlign w:val="bottom"/>
            <w:gridSpan w:val="2"/>
          </w:tcPr>
          <w:p>
            <w:pPr>
              <w:ind w:left="1020"/>
              <w:spacing w:after="0"/>
              <w:rPr>
                <w:sz w:val="20"/>
                <w:szCs w:val="20"/>
                <w:color w:val="auto"/>
              </w:rPr>
            </w:pPr>
            <w:r>
              <w:rPr>
                <w:rFonts w:ascii="Arial" w:cs="Arial" w:eastAsia="Arial" w:hAnsi="Arial"/>
                <w:sz w:val="18"/>
                <w:szCs w:val="18"/>
                <w:b w:val="1"/>
                <w:bCs w:val="1"/>
                <w:color w:val="auto"/>
              </w:rPr>
              <w:t>n/m</w:t>
            </w: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614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600" w:type="dxa"/>
            <w:vAlign w:val="bottom"/>
          </w:tcPr>
          <w:p>
            <w:pPr>
              <w:jc w:val="right"/>
              <w:ind w:right="170"/>
              <w:spacing w:after="0"/>
              <w:rPr>
                <w:sz w:val="20"/>
                <w:szCs w:val="20"/>
                <w:color w:val="auto"/>
              </w:rPr>
            </w:pPr>
            <w:r>
              <w:rPr>
                <w:rFonts w:ascii="Arial" w:cs="Arial" w:eastAsia="Arial" w:hAnsi="Arial"/>
                <w:sz w:val="18"/>
                <w:szCs w:val="18"/>
                <w:b w:val="1"/>
                <w:bCs w:val="1"/>
                <w:color w:val="auto"/>
              </w:rPr>
              <w:t>n/m</w:t>
            </w:r>
          </w:p>
        </w:tc>
      </w:tr>
      <w:tr>
        <w:trPr>
          <w:trHeight w:val="27"/>
        </w:trPr>
        <w:tc>
          <w:tcPr>
            <w:tcW w:w="25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2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6,206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8,610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2,215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3,626</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(38.9)%</w:t>
            </w:r>
          </w:p>
        </w:tc>
      </w:tr>
      <w:tr>
        <w:trPr>
          <w:trHeight w:val="20"/>
        </w:trPr>
        <w:tc>
          <w:tcPr>
            <w:tcW w:w="2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Our fiscal 2012 and fiscal 2011 land sales and other revenue and gross profit in our Southeast segment include net fees received for general contractor services we performed on behalf of a third party.</w:t>
      </w:r>
    </w:p>
    <w:p>
      <w:pPr>
        <w:spacing w:after="0" w:line="112"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Derivative Instruments and Hedging Activities. </w:t>
      </w:r>
      <w:r>
        <w:rPr>
          <w:rFonts w:ascii="Arial" w:cs="Arial" w:eastAsia="Arial" w:hAnsi="Arial"/>
          <w:sz w:val="18"/>
          <w:szCs w:val="18"/>
          <w:color w:val="auto"/>
        </w:rPr>
        <w:t>We are exposed to fluctuations in interest rates. From time to time, we enter into derivative agreements to</w:t>
      </w:r>
      <w:r>
        <w:rPr>
          <w:rFonts w:ascii="Arial" w:cs="Arial" w:eastAsia="Arial" w:hAnsi="Arial"/>
          <w:sz w:val="18"/>
          <w:szCs w:val="18"/>
          <w:b w:val="1"/>
          <w:bCs w:val="1"/>
          <w:color w:val="auto"/>
        </w:rPr>
        <w:t xml:space="preserve"> </w:t>
      </w:r>
      <w:r>
        <w:rPr>
          <w:rFonts w:ascii="Arial" w:cs="Arial" w:eastAsia="Arial" w:hAnsi="Arial"/>
          <w:sz w:val="18"/>
          <w:szCs w:val="18"/>
          <w:color w:val="auto"/>
        </w:rPr>
        <w:t>manage interest costs and hedge against risks associated with fluctuating interest rates. As of June 30, 2012, we were not a party to any such derivative agreements. We do not enter into or hold derivatives for trading or speculative purposes.</w:t>
      </w:r>
    </w:p>
    <w:p>
      <w:pPr>
        <w:spacing w:after="0" w:line="176" w:lineRule="exact"/>
        <w:rPr>
          <w:sz w:val="20"/>
          <w:szCs w:val="20"/>
          <w:color w:val="auto"/>
        </w:rPr>
      </w:pPr>
    </w:p>
    <w:p>
      <w:pPr>
        <w:jc w:val="both"/>
        <w:ind w:right="120"/>
        <w:spacing w:after="0" w:line="314" w:lineRule="auto"/>
        <w:rPr>
          <w:sz w:val="20"/>
          <w:szCs w:val="20"/>
          <w:color w:val="auto"/>
        </w:rPr>
      </w:pPr>
      <w:r>
        <w:rPr>
          <w:rFonts w:ascii="Arial" w:cs="Arial" w:eastAsia="Arial" w:hAnsi="Arial"/>
          <w:sz w:val="16"/>
          <w:szCs w:val="16"/>
          <w:b w:val="1"/>
          <w:bCs w:val="1"/>
          <w:color w:val="auto"/>
        </w:rPr>
        <w:t xml:space="preserve">Liquidity and Capital Resources. </w:t>
      </w:r>
      <w:r>
        <w:rPr>
          <w:rFonts w:ascii="Arial" w:cs="Arial" w:eastAsia="Arial" w:hAnsi="Arial"/>
          <w:sz w:val="16"/>
          <w:szCs w:val="16"/>
          <w:color w:val="auto"/>
        </w:rPr>
        <w:t>Our sources of liquidity include, but are not limited to, cash from operations, proceeds from Senior Notes and other bank</w:t>
      </w:r>
      <w:r>
        <w:rPr>
          <w:rFonts w:ascii="Arial" w:cs="Arial" w:eastAsia="Arial" w:hAnsi="Arial"/>
          <w:sz w:val="16"/>
          <w:szCs w:val="16"/>
          <w:b w:val="1"/>
          <w:bCs w:val="1"/>
          <w:color w:val="auto"/>
        </w:rPr>
        <w:t xml:space="preserve"> </w:t>
      </w:r>
      <w:r>
        <w:rPr>
          <w:rFonts w:ascii="Arial" w:cs="Arial" w:eastAsia="Arial" w:hAnsi="Arial"/>
          <w:sz w:val="16"/>
          <w:szCs w:val="16"/>
          <w:color w:val="auto"/>
        </w:rPr>
        <w:t>borrowings, the issuance of equity and equity-linked securities and other external sources of funds. Our short-term and long-term liquidity depend primarily upon our level of net income, working capital management (cash, accounts receivable, accounts payable and other liabilities) and available credit facilities.</w:t>
      </w:r>
    </w:p>
    <w:p>
      <w:pPr>
        <w:spacing w:after="0" w:line="9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As of June 30, 2012, our liquidity position consisted of $231.6 million in cash and cash equivalents plus $271.8 million of restricted cash, of which $247.4 million related to our cash secured term loan and $20 million of which was repaid subsequent to June 30, 2012. We expect to maintain a significant liquidity position during the remainder of fiscal 2012, subject to changes in market conditions that would alter our expectations for land and land development expenditures or capital market transactions which could increase or decrease our cash balance on a quarterly basis.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nine months ended June 30, 2012, our net cash used in operating activities was $106.4 million compared to $277.6 million during the comparable period of the prior year. Our net cash used in operating activities in both years was primarily due to the payment of trade accounts payable, interest obligations and other liabilities. Our cash used in operating activities in the prior year was also impacted by a $150.6 million increase in inventory (excluding inventory impairments and abandonment charges). This increase in inventory in fiscal 2011 related primarily to our strategic investments in land as we closed out older communities and positioned the Company to open new communities. Also impacting cash used in operations in both years were decreases in income tax receivables and other assets primarily related to the collection of reimbursable amounts due from land spending and a cash release of utility and other deposits.</w:t>
      </w:r>
    </w:p>
    <w:p>
      <w:pPr>
        <w:spacing w:after="0" w:line="135"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Net cash used in investing activities was $11.5 million for the nine months ended June 30, 2012 which was due primarily to capital expenditures of $7.9 million for costs related to our purchase of previously owned homes by our former pre-owned homes business. Net cash used in investing activities was $259.0 million for the nine months ended June 30, 2011 which was primarily related to the $247.4 million funding of collateral (restricted cash) for the Company’s cash secured term loan.</w:t>
      </w:r>
    </w:p>
    <w:p>
      <w:pPr>
        <w:spacing w:after="0" w:line="13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Net cash used in financing activities of $20.9 million for the nine months ended June 30, 2012 primarily related to the settlement paid to lenders of one of our unconsolidated entities in connection with a plan of reorganization (see Note 3 to the unaudited condensed consolidated financial statements). Net cash provided by financing activities was $274.2 million for the nine months ended June 30, 2011 primarily related to borrowings under our cash secured term loan and our completion of a $250 million senior unsecured debt offering, $210.0 million net proceeds of which was used to redeem our outstanding 2013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122" w:right="2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Senior Notes and a portion of our 2015 and 2016 Senior Notes.</w:t>
      </w:r>
    </w:p>
    <w:p>
      <w:pPr>
        <w:spacing w:after="0" w:line="17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During fiscal 2011, Moody’s lowered its corporate credit rating of the Company to Caa2 after it had increased this rating in the prior year. Both S&amp;P and Fitch have given the Company a corporate credit rating of B-. In July 2012, all three rating agencies reconfirmed these ratings. These ratings and our current credit condition affect, among other things, our ability to access new capital. Negative changes to these ratings may result in more stringent covenants and higher interest rates under the terms of any new debt. Our credit ratings could be lowered or rating agencies could issue adverse commentaries in the future, which could have a material adverse effect on our business, results of operations, financial condition and liquidity. In particular, a weakening of our financial condition, including any further increase in our leverage or decrease in our profitability or cash flows, could adversely affect our ability to obtain necessary funds, could result in a credit rating downgrade or change in outlook, or could otherwise increase our cost of borrowing.</w:t>
      </w:r>
    </w:p>
    <w:p>
      <w:pPr>
        <w:spacing w:after="0" w:line="11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fulfill our short-term cash requirements with cash generated from our operations and available borrowings. As a result, there were no amounts outstanding under the Secured Revolving Credit Facility at June 30, 2012. In addition, we have entered into a number of stand-alone, cash secured letter of credit agreements with banks. These facilities will continue to provide for future working capital and letter of credit needs collateralized by either cash or assets of the Company at our option, based on certain conditions and covenant compliance. We currently have $23.8 million outstanding letters of credit under these facilities. As of June 30, 2012, we have secured our letters of credit under these facilities using cash collateral which is maintained in restricted accounts totaling $24.1 million. In addition, we have elected to pledge approximately $1.0 billion of inventory assets to our revolving credit facility. We believe that our $503.4 million of cash and cash equivalents and restricted cash at June 30, 2012, cash generated from our operations and the availability of new debt and equity financing, if any, will be adequate to meet our liquidity needs during the remainder of fiscal 2012. In addition, while we believe we possess sufficient liquidity to participate in a housing recovery, we are mindful of potential short-term, or seasonal, requirements for enhanced liquidity that may arise. As such, we have negotiated a commitment letter with four financial institutions for a proposed $150 million secured revolving credit agreement, which would replace our existing Secured Revolving Credit Facility.</w:t>
      </w:r>
    </w:p>
    <w:p>
      <w:pPr>
        <w:spacing w:after="0" w:line="1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to our continued focus on generation and preservation of cash, we are also focused on increasing our stockholders’ equity and reducing our leverage. During fiscal 2012, one of our priorities is to pursue opportunities that would enable us to reduce our interest expense and extend the maturities of our debt. With this focus, we decided to offer to exchange our Mandatory Convertible Subordinated Notes and Tangible Equity Units for common stock at a premium during the quarter ended March 31, 2012. In addition, subsequent to June 30, 2012, we completed underwritten public offerings of 22 million shares of Beazer common stock at $2.90 per share, 4.6 million 7.50% tangible equity units and $300 million of 6.625% senior secured notes generating net proceeds of approximately $466 million. A portion of these proceeds was used to fund the redemption of our $250 million 12% senior secured notes due 2017 and the remaining funds will be used to fund an expansion in our new home community count and for general corporate purposes, including the repayment of outstanding indebtedness. We expect our annualized interest expense to decrease by approximately $15 million related to the above refinancing of our 12% senior secured notes.</w:t>
      </w:r>
    </w:p>
    <w:p>
      <w:pPr>
        <w:spacing w:after="0" w:line="12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future, we may again decide to issue additional new common or preferred equity. Any such new issuance may take the form of public or private offerings for cash, or such issuances may be used consummate acquisitions of businesses or assets, or to exchange for a portion of our outstanding debt. We may also from time to time seek to continue to retire or purchase our outstanding debt through cash repurchases or in exchange for other debt securities, in open market purchases, privately negotiated transactions or otherwise. In addition, any material variance from our projected operating results, could require us to obtain additional equity or debt financing. There can be no assurance that we will be able to complete any of these transactions in the future on favorable terms or at all.</w:t>
      </w:r>
    </w:p>
    <w:p>
      <w:pPr>
        <w:spacing w:after="0" w:line="135"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 xml:space="preserve">Stock Repurchases and Dividends Paid — </w:t>
      </w:r>
      <w:r>
        <w:rPr>
          <w:rFonts w:ascii="Arial" w:cs="Arial" w:eastAsia="Arial" w:hAnsi="Arial"/>
          <w:sz w:val="16"/>
          <w:szCs w:val="16"/>
          <w:color w:val="auto"/>
        </w:rPr>
        <w:t>The Company did not repurchase any shares in the open market during the nine months ended June 30, 2012 or</w:t>
      </w:r>
      <w:r>
        <w:rPr>
          <w:rFonts w:ascii="Arial" w:cs="Arial" w:eastAsia="Arial" w:hAnsi="Arial"/>
          <w:sz w:val="16"/>
          <w:szCs w:val="16"/>
          <w:b w:val="1"/>
          <w:bCs w:val="1"/>
          <w:color w:val="auto"/>
        </w:rPr>
        <w:t xml:space="preserve"> </w:t>
      </w:r>
      <w:r>
        <w:rPr>
          <w:rFonts w:ascii="Arial" w:cs="Arial" w:eastAsia="Arial" w:hAnsi="Arial"/>
          <w:sz w:val="16"/>
          <w:szCs w:val="16"/>
          <w:color w:val="auto"/>
        </w:rPr>
        <w:t>2011. Any future stock repurchases, as allowed by our debt covenants, must be approved by the Company’s Board of Directors or its Finance Committee.</w:t>
      </w:r>
    </w:p>
    <w:p>
      <w:pPr>
        <w:spacing w:after="0" w:line="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indentures under which our Senior Notes were issued contain certain restrictive covenants, including limitations on the payment of dividends. At June 30, 2012, under the most restrictive covenants of each indenture, none of our retained earnings was available for cash dividends. Hence, there were no dividends paid during the nine months ended June 30, 2012 or 2011.</w:t>
      </w:r>
    </w:p>
    <w:p>
      <w:pPr>
        <w:spacing w:after="0" w:line="123"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 xml:space="preserve">Off-Balance Sheet Arrangements and Aggregate Contractual Commitments. </w:t>
      </w:r>
      <w:r>
        <w:rPr>
          <w:rFonts w:ascii="Arial" w:cs="Arial" w:eastAsia="Arial" w:hAnsi="Arial"/>
          <w:sz w:val="17"/>
          <w:szCs w:val="17"/>
          <w:color w:val="auto"/>
        </w:rPr>
        <w:t>At June 30, 2012, we controlled 25,088 lots (a 5.8-year supply based on our</w:t>
      </w:r>
      <w:r>
        <w:rPr>
          <w:rFonts w:ascii="Arial" w:cs="Arial" w:eastAsia="Arial" w:hAnsi="Arial"/>
          <w:sz w:val="17"/>
          <w:szCs w:val="17"/>
          <w:b w:val="1"/>
          <w:bCs w:val="1"/>
          <w:color w:val="auto"/>
        </w:rPr>
        <w:t xml:space="preserve"> </w:t>
      </w:r>
      <w:r>
        <w:rPr>
          <w:rFonts w:ascii="Arial" w:cs="Arial" w:eastAsia="Arial" w:hAnsi="Arial"/>
          <w:sz w:val="17"/>
          <w:szCs w:val="17"/>
          <w:color w:val="auto"/>
        </w:rPr>
        <w:t>trailing twelve months of closings). We owned 84.2%, or 21,136 lots, and 3,952 lots, 15.8%, were under option contracts which generally require the payment of cash or the posting of a letter of credit for the right to acquire lots during a specified period of time at a certain price. We historically have attempted to control a portion of our land supply through options. As a result of the flexibility that these options provide us, upon a change in market conditions we may renegotiate the terms of the options prior to exercise or terminate the agreement. Under option contracts, purchase of the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properties is contingent upon satisfaction of certain requirements by us and the sellers and our liability is generally limited to forfeiture of the non-refundable deposits and other non-refundable amounts incurred, which aggregated approximately $24.7 million at June 30, 2012. The total remaining purchase price, net of cash deposits, committed under all options was $197.3 million as of June 30, 2012. When market conditions improve, we may expand our use of option agreements to supplement our owned inventory supply.</w:t>
      </w:r>
    </w:p>
    <w:p>
      <w:pPr>
        <w:spacing w:after="0" w:line="13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expect to exercise, subject to market conditions and seller satisfaction of contract terms, most of our option contracts. Various factors, some of which are beyond our control, such as market conditions, weather conditions and the timing of the completion of development activities, will have a significant impact on the timing of option exercises or whether lot options will be exercised.</w:t>
      </w:r>
    </w:p>
    <w:p>
      <w:pPr>
        <w:spacing w:after="0" w:line="12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have historically funded the exercise of lot options through a combination of operating cash flows. We expect these sources to continue to be adequate to fund anticipated future option exercises. Therefore, we do not anticipate that the exercise of our lot options will have a material adverse effect on our liquidity.</w:t>
      </w:r>
    </w:p>
    <w:p>
      <w:pPr>
        <w:spacing w:after="0" w:line="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participate in a number of land development joint ventures and other entities in which we have less than a controlling interest. We enter into unconsolidated entities in order to acquire attractive land positions, to manage our risk profile and to leverage our capital base. Excluding our investment in a pre-owned rental homes REIT, the remainder of our investments in our unconsolidated entities are typically entered into with developers, other homebuilders and financial partners to develop finished lots for sale to the unconsolidated entity’s members and other third parties. We account for our interest in our unconsolidated entities under the equity method. Our unaudited condensed consolidated balance sheets include investments in unconsolidated entities totaling $41.6 million and $9.5 million at June 30, 2012 and September 30, 2011, respectively.</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unconsolidated entities periodically obtain secured acquisition and development financing. At June 30, 2012, our unconsolidated entities had borrowings outstanding totaling $68.0 million. Generally, we and our partners have provided varying levels of guarantees of debt or other obligations of our unconsolidated entities. At June 30, 2012, we had one repayment guarantee outstanding for which we have accrued $0.7 million. See Note 3 to the unaudited condensed consolidated financial statements for further information.</w:t>
      </w:r>
    </w:p>
    <w:p>
      <w:pPr>
        <w:spacing w:after="0" w:line="13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had outstanding performance bonds of approximately $154.2 million, at June 30, 2012 related principally to our obligations to local governments to construct roads and other improvements in various developments.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1 to the Unaudited Condensed Consolidated Financial Statements included elsewhere in this Form 10-Q.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exposed to a number of market risks in the ordinary course of business. Our primary market risk exposure relates to fluctuations in interest rates. We do not believe that our exposure in this area is material to cash flows or earnings. As of June 30, 2012, we had variable rate debt outstanding totaling approximately $247.4 million. A one percent change in the interest rate would not be material to our financial statements. The estimated fair value of our fixed rate debt at June 30, 2012 was $1.14 billion, compared to a carrying value of $1.20 billion. In addition, the effect of a hypothetical one-percentage point decrease in our estimated discount rates would increase the estimated fair value of the fixed rate debt instruments from $1.14 billion to $1.18 billion at June 30,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9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of the end of the period covered by this report, an evaluation was performed under the supervision and with the participation of the Company’s management, including the Chief Executive Officer (CEO) and Chief Financial Officer (CFO), of the effectiveness of the Company’s disclosure controls and procedures as defined in Rule 13a-15(e) and 15d-15(e) under the Securities Exchange Act of 1934. Based on that evaluation, the CEO and CFO concluded that the Company’s disclosure controls and procedures were effective as of June 30, 2012, at a reasonable assurance level.</w:t>
      </w:r>
    </w:p>
    <w:p>
      <w:pPr>
        <w:spacing w:after="0" w:line="11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Attached as exhibits to this Quarterly Report on Form 10-Q are certifications of our CEO and CFO, which are required by Rule 13a-14 of the Act. This Disclosure Controls and Procedures section includes information concerning management’s evaluation of disclosure controls and procedures referred to in those certifications and, as such, should be read in conjunction with the certifications of the CEO and CFO.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in the Company’s internal controls over financial reporting during the quarter ended June 30, 2012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that have materially affected, or are reasonably likely to materially affect, our internal control over financial reporting.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June 3, 2009, Beazer Homes Corp. was named as a defendant in a purported class action lawsuit in the Circuit Court for Lee County, State of Florida, filed by Bryson and Kimberly Royal, the owners of one of our homes in our Magnolia Lakes' community in Ft. Myers, Florida. The complaint names the Company and certain distributors and suppliers of drywall and was on behalf of the named plaintiffs and other similarly situated owners of homes in Magnolia Lakes or alternatively in the State of Florida. The plaintiffs allege that the Company built their homes with defective drywall, manufactured in China that contains sulfur compounds that allegedly corrode certain metals and that are allegedly capable of harming the health of individuals. Plaintiffs allege physical and economic damages and seek legal and equitable relief, medical monitoring and attorney's fees. This case has been transferred to the Eastern District of Louisiana pursuant to an order from the United States Judicial Panel on Multidistrict Litigation. In addition, the Company has been named in other multi-plaintiff complaints filed in the multidistrict litigation and individual state court actions. We believe that the claims asserted in these actions are governed by home warranties or are without merit. Accordingly, the Company intends to vigorously defend against these actions. The Company has offered to repair all of these homes pursuant to a repair protocol that has been adopted by the multidistrict litigation court, including those homes involved in litigation. To date, the owners of all but two of the affected homes have accepted the Company's offer to repair. Furthermore, the Company has agreed to participate in a global class settlement with the plaintiff class counsel and numerous other defendants in the multidistrict litigation, which if approved by the Court, would resolve all claims, including future claims, against Beazer related to Chinese drywall, except those by persons or entities that opt out of the settlement. To the extent necessary, the Company intends to vigorously defend against those opt out actions. The Company also continues to pursue recovery against responsible subcontractors, drywall suppliers and drywall manufacturers for its repair costs.</w:t>
      </w:r>
    </w:p>
    <w:p>
      <w:pPr>
        <w:spacing w:after="0" w:line="196"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From 1998 through 2008 Beazer Mortgage Corporation (BMC), a wholly owned subsidiary of the Company, originated mortgage loans for a portion of the Company's homebuyers. The bulk of these loans were funded by unaffiliated lenders or, to the extent initially funded by BMC, promptly sold to third party lenders and investors. We believe a large number of such loans were ultimately acquired by government sponsored entities such as the Federal National Mortgage Association (Fannie Mae). In general, underwriting decisions were not made by BMC but by the lender/investors themselves or third-party service providers. BMC is involved in litigation with one of these lenders in which the lender is seeking to recover losses allegedly sustained on such loans. See Note 9, Contingencies, to the unaudited condensed consolidated financial statements for a description of this litigation. On March 14, 2011, the Company and several subsidiaries were named as defendants in a lawsuit filed by Flagstar Bank, FSB in the Circuit Court for the County of Oakland, State of</w:t>
      </w:r>
    </w:p>
    <w:p>
      <w:pPr>
        <w:spacing w:after="0" w:line="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Michigan. The complaint demands approximately $8.7 million to recover purported losses in connection with 73 residential mortgage loan transactions under theories of breach of contract, fraud/intentional misrepresentation and other similar theories of recovery. We believe we have strong defenses to the claims on these individual loans and intend to vigorously defend the action.</w:t>
      </w:r>
    </w:p>
    <w:p>
      <w:pPr>
        <w:spacing w:after="0" w:line="13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addition, three other investors have demanded that BMC indemnify them for losses suffered with respect to other mortgage loans or repurchase such loans, largely alleging misrepresentations by the borrowers or defects in the loan origination process. We are currently investigating each of these claims and are in communications with the investors. To date, including the mortgage loans that are the subject of the lawsuit described above, we have active requests to repurchase fewer than 100 mortgage loans. While we have not been required to repurchase any of such mortgage loans, there can be no assurance that once all documentation and facts are investigated that BMC will not agree to, or be obligated to, repurchase some or all of such loans. Previously, we established an immaterial amount as a reserve for the repurchase of mortgage loans originated by BMC. BMC did not service the loans it originated and accordingly information regarding loan performance and the underwriting process is limited or difficult to obtain. At this time, we do not believe that the exposure related to any such additional claims would be material to our consolidated financial position or results of operation. However, given the increasing focus on this issue generally, potential actions of government sponsored entities and the uncertainties regarding resolution of each claim, we cannot rule out the potential for additional mortgage loan repurchase claims in the future, potential liability for some or all of these claims or changes in our assessment of these claims which may result in establishment of additional reserves that may or may not be material. However, as of June 30, 2012 , no liability has been recorded for any such additional claims as such exposure is not reasonable estimable.</w:t>
      </w:r>
    </w:p>
    <w:p>
      <w:pPr>
        <w:spacing w:after="0" w:line="11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cannot predict or determine the timing or final outcome of the lawsuits or the effect that any adverse findings or determinations in the pending lawsuits may have on us. In addition, an estimate of possible loss or range of loss, if any, cannot presently be made with respect to certain of the above pending matters. An unfavorable determination in any of the pending lawsuits could result in the payment by us of substantial monetary damages which may not be fully covered by insurance.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Further, the legal costs associated with the lawsuits and the amount of time required to be spent by management and the Board of Directors on these matters, even if we are ultimately successful, could have a material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4" w:lineRule="exact"/>
        <w:rPr>
          <w:sz w:val="20"/>
          <w:szCs w:val="20"/>
          <w:color w:val="auto"/>
        </w:rPr>
      </w:pPr>
    </w:p>
    <w:p>
      <w:pPr>
        <w:jc w:val="both"/>
        <w:ind w:right="160"/>
        <w:spacing w:after="0" w:line="288" w:lineRule="auto"/>
        <w:rPr>
          <w:sz w:val="20"/>
          <w:szCs w:val="20"/>
          <w:color w:val="auto"/>
        </w:rPr>
      </w:pPr>
      <w:r>
        <w:rPr>
          <w:rFonts w:ascii="Arial" w:cs="Arial" w:eastAsia="Arial" w:hAnsi="Arial"/>
          <w:sz w:val="16"/>
          <w:szCs w:val="16"/>
          <w:color w:val="auto"/>
        </w:rPr>
        <w:t>As disclosed in our 2009 Form 10-K, on July 1, 2009, the Company announced that it has resolved the criminal and civil investigations by the United States Attorney’s Office in the Western District of North Carolina (the U.S. Attorney) and other state and federal agencies concerning matters that were the subject of the independent investigation, initiated in April 2007 by the Audit Committee of the Board of Directors (the Investigation) and concluded in May 2008.</w:t>
      </w:r>
    </w:p>
    <w:p>
      <w:pPr>
        <w:ind w:right="100"/>
        <w:spacing w:after="0" w:line="253" w:lineRule="auto"/>
        <w:rPr>
          <w:sz w:val="20"/>
          <w:szCs w:val="20"/>
          <w:color w:val="auto"/>
        </w:rPr>
      </w:pPr>
      <w:r>
        <w:rPr>
          <w:rFonts w:ascii="Arial" w:cs="Arial" w:eastAsia="Arial" w:hAnsi="Arial"/>
          <w:sz w:val="18"/>
          <w:szCs w:val="18"/>
          <w:color w:val="auto"/>
        </w:rPr>
        <w:t>Under the terms of a deferred prosecution agreement (DPA), the Company’s liability for each of the fiscal years after 2010 through a portion of fiscal 2014 (unless extended as previously described in our 2009 Form 10-K) will be equal to 4% of the Company’s adjusted EBITDA (as defined in the DPA). The total amount of such obligations will be dependent on several factors; however, the maximum liability under the DPA and other settlement agreements discussed above will not exceed $55.0 million, of which $16 million has been paid as of June 30, 2012. Positive adjusted EBITDA in future years will require us to incur additional expense in the future.</w:t>
      </w:r>
    </w:p>
    <w:p>
      <w:pPr>
        <w:spacing w:after="0" w:line="13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2006, we received two Administrative Orders issued by the New Jersey Department of Environmental Protection. The Orders allege certain violations of wetlands disturbance permits and assess proposed fines of $630,000 and $678,000, respectively. We have met with the Department to discuss their concerns on the two affected communities and have requested hearings on both matters. Although we believe that we have significant defenses to the alleged violations, we have made a settlement proposal to the Department that is currently under consideration.</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and certain of our subsidiaries have been named as defendants in various claims, complaints and other legal actions, most relating to construction defects, moisture intrusion and product liability. Certain of the liabilities resulting from these actions are covered in whole or part by insurance. In our opinion, based on our current assessment, the ultimate resolution of these matters will not have a material adverse effect on our financial condition,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jc w:val="right"/>
              <w:ind w:right="310"/>
              <w:spacing w:after="0"/>
              <w:rPr>
                <w:sz w:val="20"/>
                <w:szCs w:val="20"/>
                <w:color w:val="auto"/>
              </w:rPr>
            </w:pPr>
            <w:r>
              <w:rPr>
                <w:rFonts w:ascii="Arial" w:cs="Arial" w:eastAsia="Arial" w:hAnsi="Arial"/>
                <w:sz w:val="18"/>
                <w:szCs w:val="18"/>
                <w:color w:val="auto"/>
                <w:w w:val="85"/>
              </w:rPr>
              <w:t>31.1</w:t>
            </w:r>
          </w:p>
        </w:tc>
        <w:tc>
          <w:tcPr>
            <w:tcW w:w="2440" w:type="dxa"/>
            <w:vAlign w:val="bottom"/>
          </w:tcPr>
          <w:p>
            <w:pPr>
              <w:ind w:left="420"/>
              <w:spacing w:after="0"/>
              <w:rPr>
                <w:sz w:val="20"/>
                <w:szCs w:val="20"/>
                <w:color w:val="auto"/>
              </w:rPr>
            </w:pPr>
            <w:r>
              <w:rPr>
                <w:rFonts w:ascii="Arial" w:cs="Arial" w:eastAsia="Arial" w:hAnsi="Arial"/>
                <w:sz w:val="18"/>
                <w:szCs w:val="18"/>
                <w:color w:val="auto"/>
                <w:w w:val="92"/>
              </w:rPr>
              <w:t>Certification pursuant to 17</w:t>
            </w:r>
          </w:p>
        </w:tc>
        <w:tc>
          <w:tcPr>
            <w:tcW w:w="6700" w:type="dxa"/>
            <w:vAlign w:val="bottom"/>
          </w:tcPr>
          <w:p>
            <w:pPr>
              <w:ind w:left="20"/>
              <w:spacing w:after="0"/>
              <w:rPr>
                <w:sz w:val="20"/>
                <w:szCs w:val="20"/>
                <w:color w:val="auto"/>
              </w:rPr>
            </w:pPr>
            <w:r>
              <w:rPr>
                <w:rFonts w:ascii="Arial" w:cs="Arial" w:eastAsia="Arial" w:hAnsi="Arial"/>
                <w:sz w:val="18"/>
                <w:szCs w:val="18"/>
                <w:color w:val="auto"/>
                <w:w w:val="99"/>
              </w:rPr>
              <w:t>CFR 240.13a-14 promulgated under Section 302 of the Sarbanes-Oxley Act of 2002</w:t>
            </w:r>
          </w:p>
        </w:tc>
      </w:tr>
      <w:tr>
        <w:trPr>
          <w:trHeight w:val="392"/>
        </w:trPr>
        <w:tc>
          <w:tcPr>
            <w:tcW w:w="720" w:type="dxa"/>
            <w:vAlign w:val="bottom"/>
          </w:tcPr>
          <w:p>
            <w:pPr>
              <w:jc w:val="right"/>
              <w:ind w:right="310"/>
              <w:spacing w:after="0"/>
              <w:rPr>
                <w:sz w:val="20"/>
                <w:szCs w:val="20"/>
                <w:color w:val="auto"/>
              </w:rPr>
            </w:pPr>
            <w:r>
              <w:rPr>
                <w:rFonts w:ascii="Arial" w:cs="Arial" w:eastAsia="Arial" w:hAnsi="Arial"/>
                <w:sz w:val="18"/>
                <w:szCs w:val="18"/>
                <w:color w:val="auto"/>
                <w:w w:val="85"/>
              </w:rPr>
              <w:t>31.2</w:t>
            </w:r>
          </w:p>
        </w:tc>
        <w:tc>
          <w:tcPr>
            <w:tcW w:w="2440" w:type="dxa"/>
            <w:vAlign w:val="bottom"/>
          </w:tcPr>
          <w:p>
            <w:pPr>
              <w:ind w:left="420"/>
              <w:spacing w:after="0"/>
              <w:rPr>
                <w:sz w:val="20"/>
                <w:szCs w:val="20"/>
                <w:color w:val="auto"/>
              </w:rPr>
            </w:pPr>
            <w:r>
              <w:rPr>
                <w:rFonts w:ascii="Arial" w:cs="Arial" w:eastAsia="Arial" w:hAnsi="Arial"/>
                <w:sz w:val="18"/>
                <w:szCs w:val="18"/>
                <w:color w:val="auto"/>
                <w:w w:val="92"/>
              </w:rPr>
              <w:t>Certification pursuant to 17</w:t>
            </w:r>
          </w:p>
        </w:tc>
        <w:tc>
          <w:tcPr>
            <w:tcW w:w="6700" w:type="dxa"/>
            <w:vAlign w:val="bottom"/>
          </w:tcPr>
          <w:p>
            <w:pPr>
              <w:ind w:left="20"/>
              <w:spacing w:after="0"/>
              <w:rPr>
                <w:sz w:val="20"/>
                <w:szCs w:val="20"/>
                <w:color w:val="auto"/>
              </w:rPr>
            </w:pPr>
            <w:r>
              <w:rPr>
                <w:rFonts w:ascii="Arial" w:cs="Arial" w:eastAsia="Arial" w:hAnsi="Arial"/>
                <w:sz w:val="18"/>
                <w:szCs w:val="18"/>
                <w:color w:val="auto"/>
                <w:w w:val="99"/>
              </w:rPr>
              <w:t>CFR 240.13a-14 promulgated under Section 302 of the Sarbanes-Oxley Act of 2002</w:t>
            </w:r>
          </w:p>
        </w:tc>
      </w:tr>
      <w:tr>
        <w:trPr>
          <w:trHeight w:val="392"/>
        </w:trPr>
        <w:tc>
          <w:tcPr>
            <w:tcW w:w="720" w:type="dxa"/>
            <w:vAlign w:val="bottom"/>
          </w:tcPr>
          <w:p>
            <w:pPr>
              <w:jc w:val="right"/>
              <w:ind w:right="310"/>
              <w:spacing w:after="0"/>
              <w:rPr>
                <w:sz w:val="20"/>
                <w:szCs w:val="20"/>
                <w:color w:val="auto"/>
              </w:rPr>
            </w:pPr>
            <w:r>
              <w:rPr>
                <w:rFonts w:ascii="Arial" w:cs="Arial" w:eastAsia="Arial" w:hAnsi="Arial"/>
                <w:sz w:val="18"/>
                <w:szCs w:val="18"/>
                <w:color w:val="auto"/>
                <w:w w:val="85"/>
              </w:rPr>
              <w:t>32.1</w:t>
            </w:r>
          </w:p>
        </w:tc>
        <w:tc>
          <w:tcPr>
            <w:tcW w:w="2440" w:type="dxa"/>
            <w:vAlign w:val="bottom"/>
          </w:tcPr>
          <w:p>
            <w:pPr>
              <w:ind w:left="420"/>
              <w:spacing w:after="0"/>
              <w:rPr>
                <w:sz w:val="20"/>
                <w:szCs w:val="20"/>
                <w:color w:val="auto"/>
              </w:rPr>
            </w:pPr>
            <w:r>
              <w:rPr>
                <w:rFonts w:ascii="Arial" w:cs="Arial" w:eastAsia="Arial" w:hAnsi="Arial"/>
                <w:sz w:val="18"/>
                <w:szCs w:val="18"/>
                <w:color w:val="auto"/>
                <w:w w:val="92"/>
              </w:rPr>
              <w:t>Certification pursuant to 18</w:t>
            </w:r>
          </w:p>
        </w:tc>
        <w:tc>
          <w:tcPr>
            <w:tcW w:w="6700" w:type="dxa"/>
            <w:vAlign w:val="bottom"/>
          </w:tcPr>
          <w:p>
            <w:pPr>
              <w:ind w:left="20"/>
              <w:spacing w:after="0"/>
              <w:rPr>
                <w:sz w:val="20"/>
                <w:szCs w:val="20"/>
                <w:color w:val="auto"/>
              </w:rPr>
            </w:pPr>
            <w:r>
              <w:rPr>
                <w:rFonts w:ascii="Arial" w:cs="Arial" w:eastAsia="Arial" w:hAnsi="Arial"/>
                <w:sz w:val="18"/>
                <w:szCs w:val="18"/>
                <w:color w:val="auto"/>
                <w:w w:val="89"/>
              </w:rPr>
              <w:t>U.S.C. Section 1350, as adopted pursuant to Section 906 of the Sarbanes-Oxley Act of 2002.</w:t>
            </w:r>
          </w:p>
        </w:tc>
      </w:tr>
      <w:tr>
        <w:trPr>
          <w:trHeight w:val="392"/>
        </w:trPr>
        <w:tc>
          <w:tcPr>
            <w:tcW w:w="720" w:type="dxa"/>
            <w:vAlign w:val="bottom"/>
          </w:tcPr>
          <w:p>
            <w:pPr>
              <w:jc w:val="right"/>
              <w:ind w:right="310"/>
              <w:spacing w:after="0"/>
              <w:rPr>
                <w:sz w:val="20"/>
                <w:szCs w:val="20"/>
                <w:color w:val="auto"/>
              </w:rPr>
            </w:pPr>
            <w:r>
              <w:rPr>
                <w:rFonts w:ascii="Arial" w:cs="Arial" w:eastAsia="Arial" w:hAnsi="Arial"/>
                <w:sz w:val="18"/>
                <w:szCs w:val="18"/>
                <w:color w:val="auto"/>
                <w:w w:val="85"/>
              </w:rPr>
              <w:t>32.2</w:t>
            </w:r>
          </w:p>
        </w:tc>
        <w:tc>
          <w:tcPr>
            <w:tcW w:w="2440" w:type="dxa"/>
            <w:vAlign w:val="bottom"/>
          </w:tcPr>
          <w:p>
            <w:pPr>
              <w:ind w:left="420"/>
              <w:spacing w:after="0"/>
              <w:rPr>
                <w:sz w:val="20"/>
                <w:szCs w:val="20"/>
                <w:color w:val="auto"/>
              </w:rPr>
            </w:pPr>
            <w:r>
              <w:rPr>
                <w:rFonts w:ascii="Arial" w:cs="Arial" w:eastAsia="Arial" w:hAnsi="Arial"/>
                <w:sz w:val="18"/>
                <w:szCs w:val="18"/>
                <w:color w:val="auto"/>
                <w:w w:val="92"/>
              </w:rPr>
              <w:t>Certification pursuant to 18</w:t>
            </w:r>
          </w:p>
        </w:tc>
        <w:tc>
          <w:tcPr>
            <w:tcW w:w="6700" w:type="dxa"/>
            <w:vAlign w:val="bottom"/>
          </w:tcPr>
          <w:p>
            <w:pPr>
              <w:ind w:left="20"/>
              <w:spacing w:after="0"/>
              <w:rPr>
                <w:sz w:val="20"/>
                <w:szCs w:val="20"/>
                <w:color w:val="auto"/>
              </w:rPr>
            </w:pPr>
            <w:r>
              <w:rPr>
                <w:rFonts w:ascii="Arial" w:cs="Arial" w:eastAsia="Arial" w:hAnsi="Arial"/>
                <w:sz w:val="18"/>
                <w:szCs w:val="18"/>
                <w:color w:val="auto"/>
                <w:w w:val="89"/>
              </w:rPr>
              <w:t>U.S.C. Section 1350, as adopted pursuant to Section 906 of the Sarbanes-Oxley Act of 2002.</w:t>
            </w:r>
          </w:p>
        </w:tc>
      </w:tr>
    </w:tbl>
    <w:p>
      <w:pPr>
        <w:spacing w:after="0" w:line="161" w:lineRule="exact"/>
        <w:rPr>
          <w:sz w:val="20"/>
          <w:szCs w:val="20"/>
          <w:color w:val="auto"/>
        </w:rPr>
      </w:pPr>
    </w:p>
    <w:p>
      <w:pPr>
        <w:ind w:left="1180" w:right="40" w:hanging="1145"/>
        <w:spacing w:after="0" w:line="291" w:lineRule="auto"/>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following financial statements from Beazer Homes USA, Inc.’s Quarterly Report on Form 10-Q for the period ended June 30, 2012, filed on August 3, 2012, formatted in XBRL (Extensible Business Reporting Language); (i) Unaudited Condensed Consolidated Balance Sheets,</w:t>
      </w:r>
    </w:p>
    <w:p>
      <w:pPr>
        <w:ind w:left="1440" w:hanging="257"/>
        <w:spacing w:after="0"/>
        <w:tabs>
          <w:tab w:leader="none" w:pos="1440" w:val="left"/>
        </w:tabs>
        <w:numPr>
          <w:ilvl w:val="1"/>
          <w:numId w:val="7"/>
        </w:numPr>
        <w:rPr>
          <w:rFonts w:ascii="Arial" w:cs="Arial" w:eastAsia="Arial" w:hAnsi="Arial"/>
          <w:sz w:val="16"/>
          <w:szCs w:val="16"/>
          <w:color w:val="auto"/>
        </w:rPr>
      </w:pPr>
      <w:r>
        <w:rPr>
          <w:rFonts w:ascii="Arial" w:cs="Arial" w:eastAsia="Arial" w:hAnsi="Arial"/>
          <w:sz w:val="16"/>
          <w:szCs w:val="16"/>
          <w:color w:val="auto"/>
        </w:rPr>
        <w:t>Unaudited Condensed Consolidated Statements of Operations, (iii) Unaudited Condensed Consolidated Statements of Cash Flows and</w:t>
      </w:r>
    </w:p>
    <w:p>
      <w:pPr>
        <w:spacing w:after="0" w:line="32" w:lineRule="exact"/>
        <w:rPr>
          <w:rFonts w:ascii="Arial" w:cs="Arial" w:eastAsia="Arial" w:hAnsi="Arial"/>
          <w:sz w:val="16"/>
          <w:szCs w:val="16"/>
          <w:color w:val="auto"/>
        </w:rPr>
      </w:pPr>
    </w:p>
    <w:p>
      <w:pPr>
        <w:ind w:left="1480" w:hanging="29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Notes to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August 3, 2012</w:t>
            </w:r>
          </w:p>
        </w:tc>
        <w:tc>
          <w:tcPr>
            <w:tcW w:w="4040" w:type="dxa"/>
            <w:vAlign w:val="bottom"/>
            <w:gridSpan w:val="2"/>
          </w:tcPr>
          <w:p>
            <w:pPr>
              <w:ind w:left="1900"/>
              <w:spacing w:after="0"/>
              <w:rPr>
                <w:sz w:val="20"/>
                <w:szCs w:val="20"/>
                <w:color w:val="auto"/>
              </w:rPr>
            </w:pPr>
            <w:r>
              <w:rPr>
                <w:rFonts w:ascii="Arial" w:cs="Arial" w:eastAsia="Arial" w:hAnsi="Arial"/>
                <w:sz w:val="18"/>
                <w:szCs w:val="18"/>
                <w:color w:val="auto"/>
              </w:rPr>
              <w:t>Beazer Homes USA, Inc.</w:t>
            </w:r>
          </w:p>
        </w:tc>
        <w:tc>
          <w:tcPr>
            <w:tcW w:w="3640" w:type="dxa"/>
            <w:vAlign w:val="bottom"/>
          </w:tcPr>
          <w:p>
            <w:pPr>
              <w:spacing w:after="0"/>
              <w:rPr>
                <w:sz w:val="20"/>
                <w:szCs w:val="20"/>
                <w:color w:val="auto"/>
              </w:rPr>
            </w:pPr>
          </w:p>
        </w:tc>
      </w:tr>
      <w:tr>
        <w:trPr>
          <w:trHeight w:val="594"/>
        </w:trPr>
        <w:tc>
          <w:tcPr>
            <w:tcW w:w="3700" w:type="dxa"/>
            <w:vAlign w:val="bottom"/>
          </w:tcPr>
          <w:p>
            <w:pPr>
              <w:spacing w:after="0"/>
              <w:rPr>
                <w:sz w:val="24"/>
                <w:szCs w:val="24"/>
                <w:color w:val="auto"/>
              </w:rPr>
            </w:pPr>
          </w:p>
        </w:tc>
        <w:tc>
          <w:tcPr>
            <w:tcW w:w="4040" w:type="dxa"/>
            <w:vAlign w:val="bottom"/>
            <w:gridSpan w:val="2"/>
          </w:tcPr>
          <w:p>
            <w:pPr>
              <w:ind w:left="1900"/>
              <w:spacing w:after="0"/>
              <w:rPr>
                <w:sz w:val="20"/>
                <w:szCs w:val="20"/>
                <w:color w:val="auto"/>
              </w:rPr>
            </w:pPr>
            <w:r>
              <w:rPr>
                <w:rFonts w:ascii="Arial" w:cs="Arial" w:eastAsia="Arial" w:hAnsi="Arial"/>
                <w:sz w:val="18"/>
                <w:szCs w:val="18"/>
                <w:color w:val="auto"/>
              </w:rPr>
              <w:t>By:</w:t>
            </w:r>
          </w:p>
        </w:tc>
        <w:tc>
          <w:tcPr>
            <w:tcW w:w="3640" w:type="dxa"/>
            <w:vAlign w:val="bottom"/>
          </w:tcPr>
          <w:p>
            <w:pPr>
              <w:ind w:left="32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L. S</w:t>
            </w:r>
            <w:r>
              <w:rPr>
                <w:rFonts w:ascii="Arial" w:cs="Arial" w:eastAsia="Arial" w:hAnsi="Arial"/>
                <w:sz w:val="14"/>
                <w:szCs w:val="14"/>
                <w:color w:val="auto"/>
              </w:rPr>
              <w:t>ALOMON</w:t>
            </w:r>
          </w:p>
        </w:tc>
      </w:tr>
      <w:tr>
        <w:trPr>
          <w:trHeight w:val="27"/>
        </w:trPr>
        <w:tc>
          <w:tcPr>
            <w:tcW w:w="3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600" w:type="dxa"/>
            <w:vAlign w:val="bottom"/>
          </w:tcPr>
          <w:p>
            <w:pPr>
              <w:ind w:left="300"/>
              <w:spacing w:after="0"/>
              <w:rPr>
                <w:sz w:val="20"/>
                <w:szCs w:val="20"/>
                <w:color w:val="auto"/>
              </w:rPr>
            </w:pPr>
            <w:r>
              <w:rPr>
                <w:rFonts w:ascii="Arial" w:cs="Arial" w:eastAsia="Arial" w:hAnsi="Arial"/>
                <w:sz w:val="18"/>
                <w:szCs w:val="18"/>
                <w:color w:val="auto"/>
              </w:rPr>
              <w:t>Name:</w:t>
            </w:r>
          </w:p>
        </w:tc>
        <w:tc>
          <w:tcPr>
            <w:tcW w:w="3640" w:type="dxa"/>
            <w:vAlign w:val="bottom"/>
          </w:tcPr>
          <w:p>
            <w:pPr>
              <w:jc w:val="center"/>
              <w:ind w:right="724"/>
              <w:spacing w:after="0"/>
              <w:rPr>
                <w:sz w:val="20"/>
                <w:szCs w:val="20"/>
                <w:color w:val="auto"/>
              </w:rPr>
            </w:pPr>
            <w:r>
              <w:rPr>
                <w:rFonts w:ascii="Arial" w:cs="Arial" w:eastAsia="Arial" w:hAnsi="Arial"/>
                <w:sz w:val="14"/>
                <w:szCs w:val="14"/>
                <w:b w:val="1"/>
                <w:bCs w:val="1"/>
                <w:color w:val="auto"/>
                <w:w w:val="93"/>
              </w:rPr>
              <w:t>Robert L. Salomon</w:t>
            </w:r>
          </w:p>
        </w:tc>
      </w:tr>
      <w:tr>
        <w:trPr>
          <w:trHeight w:val="180"/>
        </w:trPr>
        <w:tc>
          <w:tcPr>
            <w:tcW w:w="37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640" w:type="dxa"/>
            <w:vAlign w:val="bottom"/>
          </w:tcPr>
          <w:p>
            <w:pPr>
              <w:jc w:val="center"/>
              <w:ind w:right="724"/>
              <w:spacing w:after="0"/>
              <w:rPr>
                <w:sz w:val="20"/>
                <w:szCs w:val="20"/>
                <w:color w:val="auto"/>
              </w:rPr>
            </w:pPr>
            <w:r>
              <w:rPr>
                <w:rFonts w:ascii="Arial" w:cs="Arial" w:eastAsia="Arial" w:hAnsi="Arial"/>
                <w:sz w:val="14"/>
                <w:szCs w:val="14"/>
                <w:b w:val="1"/>
                <w:bCs w:val="1"/>
                <w:color w:val="auto"/>
                <w:w w:val="92"/>
              </w:rPr>
              <w:t>Executive Vice President and</w:t>
            </w:r>
          </w:p>
        </w:tc>
      </w:tr>
      <w:tr>
        <w:trPr>
          <w:trHeight w:val="186"/>
        </w:trPr>
        <w:tc>
          <w:tcPr>
            <w:tcW w:w="37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640" w:type="dxa"/>
            <w:vAlign w:val="bottom"/>
          </w:tcPr>
          <w:p>
            <w:pPr>
              <w:jc w:val="center"/>
              <w:ind w:right="744"/>
              <w:spacing w:after="0"/>
              <w:rPr>
                <w:sz w:val="20"/>
                <w:szCs w:val="20"/>
                <w:color w:val="auto"/>
              </w:rPr>
            </w:pPr>
            <w:r>
              <w:rPr>
                <w:rFonts w:ascii="Arial" w:cs="Arial" w:eastAsia="Arial" w:hAnsi="Arial"/>
                <w:sz w:val="14"/>
                <w:szCs w:val="14"/>
                <w:b w:val="1"/>
                <w:bCs w:val="1"/>
                <w:color w:val="auto"/>
                <w:w w:val="95"/>
              </w:rPr>
              <w:t>Chief Financial Officer</w:t>
            </w:r>
          </w:p>
        </w:tc>
      </w:tr>
      <w:tr>
        <w:trPr>
          <w:trHeight w:val="635"/>
        </w:trPr>
        <w:tc>
          <w:tcPr>
            <w:tcW w:w="3700" w:type="dxa"/>
            <w:vAlign w:val="bottom"/>
          </w:tcPr>
          <w:p>
            <w:pPr>
              <w:spacing w:after="0"/>
              <w:rPr>
                <w:sz w:val="24"/>
                <w:szCs w:val="24"/>
                <w:color w:val="auto"/>
              </w:rPr>
            </w:pPr>
          </w:p>
        </w:tc>
        <w:tc>
          <w:tcPr>
            <w:tcW w:w="2440" w:type="dxa"/>
            <w:vAlign w:val="bottom"/>
          </w:tcPr>
          <w:p>
            <w:pPr>
              <w:ind w:left="1900"/>
              <w:spacing w:after="0"/>
              <w:rPr>
                <w:sz w:val="20"/>
                <w:szCs w:val="20"/>
                <w:color w:val="auto"/>
              </w:rPr>
            </w:pPr>
            <w:r>
              <w:rPr>
                <w:rFonts w:ascii="Arial" w:cs="Arial" w:eastAsia="Arial" w:hAnsi="Arial"/>
                <w:sz w:val="14"/>
                <w:szCs w:val="14"/>
                <w:color w:val="auto"/>
              </w:rPr>
              <w:t>45</w:t>
            </w:r>
          </w:p>
        </w:tc>
        <w:tc>
          <w:tcPr>
            <w:tcW w:w="160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240.13a-14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Allan P. Merrill, certify that:</w:t>
      </w:r>
    </w:p>
    <w:p>
      <w:pPr>
        <w:spacing w:after="0" w:line="171"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Beazer Homes USA,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40" w:hanging="655"/>
        <w:spacing w:after="0" w:line="286" w:lineRule="auto"/>
        <w:tabs>
          <w:tab w:leader="none" w:pos="196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60" w:hanging="655"/>
        <w:spacing w:after="0" w:line="264" w:lineRule="auto"/>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80" w:hanging="655"/>
        <w:spacing w:after="0" w:line="264" w:lineRule="auto"/>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300" w:right="320" w:hanging="644"/>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right="40" w:hanging="655"/>
        <w:spacing w:after="0" w:line="342" w:lineRule="auto"/>
        <w:tabs>
          <w:tab w:leader="none" w:pos="196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320" w:hanging="655"/>
        <w:spacing w:after="0" w:line="277" w:lineRule="auto"/>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Allan P. Merrill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Allan P. Merrill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240.13a-14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Robert L. Salomon, certify that:</w:t>
      </w:r>
    </w:p>
    <w:p>
      <w:pPr>
        <w:spacing w:after="0" w:line="171"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Beazer Homes USA,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40" w:hanging="655"/>
        <w:spacing w:after="0" w:line="286" w:lineRule="auto"/>
        <w:tabs>
          <w:tab w:leader="none" w:pos="19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60" w:hanging="655"/>
        <w:spacing w:after="0" w:line="264"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80" w:hanging="655"/>
        <w:spacing w:after="0" w:line="264"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300" w:right="320" w:hanging="644"/>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right="40" w:hanging="655"/>
        <w:spacing w:after="0" w:line="342" w:lineRule="auto"/>
        <w:tabs>
          <w:tab w:leader="none" w:pos="19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320" w:hanging="655"/>
        <w:spacing w:after="0" w:line="277"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Robert L. Salomon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L. Salomon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Pursuant to Section 906 of the Sarbanes-Oxley Act of 2002, the undersigned Chief Executive Officer of Beazer Homes USA, Inc. (the “Company”) hereby certifies that the Report on Form 10-Q of the Company for the period ended June 30, 2012, accompanying this certification, fully complies with the requirements of Section 13(a) or 15(d) of the Securities Exchange Act of 1934 and that information contained in the periodic report fairly presents, in all material respects, the financial condition and results of operations of the Company.</w:t>
      </w:r>
    </w:p>
    <w:p>
      <w:pPr>
        <w:spacing w:after="0" w:line="349" w:lineRule="exact"/>
        <w:rPr>
          <w:sz w:val="20"/>
          <w:szCs w:val="20"/>
          <w:color w:val="auto"/>
        </w:rPr>
      </w:pPr>
    </w:p>
    <w:p>
      <w:pPr>
        <w:ind w:left="40"/>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3, 2012</w:t>
      </w:r>
    </w:p>
    <w:p>
      <w:pPr>
        <w:spacing w:after="0" w:line="38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Allan P. Merrill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31750</wp:posOffset>
            </wp:positionV>
            <wp:extent cx="26327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5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Allan P. Merrill</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and Section 1350 of Title 18, United States Code, and is not being filed as part of the report or as a separate disclosure document.</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Pursuant to Section 906 of the Sarbanes-Oxley Act of 2002, the undersigned Chief Financial Officer of Beazer Homes USA, Inc. (the “Company”) hereby certifies that the Report on Form 10-Q of the Company for the period ended June 30, 2012, accompanying this certification, fully complies with the requirements of Section 13(a) or 15(d) of the Securities Exchange Act of 1934 and that information contained in the periodic report fairly presents, in all material respects, the financial condition and results of operations of the Company.</w:t>
      </w:r>
    </w:p>
    <w:p>
      <w:pPr>
        <w:spacing w:after="0" w:line="349" w:lineRule="exact"/>
        <w:rPr>
          <w:sz w:val="20"/>
          <w:szCs w:val="20"/>
          <w:color w:val="auto"/>
        </w:rPr>
      </w:pPr>
    </w:p>
    <w:p>
      <w:pPr>
        <w:ind w:left="40"/>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3, 2012</w:t>
      </w:r>
    </w:p>
    <w:p>
      <w:pPr>
        <w:spacing w:after="0" w:line="38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Robert L. Salomon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31750</wp:posOffset>
            </wp:positionV>
            <wp:extent cx="26327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5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Robert L. Salomon</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and Section 1350 of Title 18, United States Code,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decimal"/>
      <w:start w:val="101"/>
    </w:lvl>
    <w:lvl w:ilvl="1">
      <w:lvlJc w:val="left"/>
      <w:lvlText w:val="(%2)"/>
      <w:numFmt w:val="lowerRoman"/>
      <w:start w:val="2"/>
    </w:lvl>
  </w:abstractNum>
  <w:abstractNum w:abstractNumId="7">
    <w:nsid w:val="5BD062C2"/>
    <w:multiLevelType w:val="hybridMultilevel"/>
    <w:lvl w:ilvl="0">
      <w:lvlJc w:val="left"/>
      <w:lvlText w:val="%1"/>
      <w:numFmt w:val="decimal"/>
      <w:start w:val="1"/>
    </w:lvl>
    <w:lvl w:ilvl="1">
      <w:lvlJc w:val="left"/>
      <w:lvlText w:val="(%2)"/>
      <w:numFmt w:val="lowerRoman"/>
      <w:start w:val="4"/>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2019-12-09T11:23:05Z</dcterms:created>
  <dcterms:modified xsi:type="dcterms:W3CDTF">2019-12-09T11:23:05Z</dcterms:modified>
</cp:coreProperties>
</file>