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BEAZER HOMES USA,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001-12822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58-2086934</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 of</w:t>
      </w:r>
    </w:p>
    <w:p>
      <w:pPr>
        <w:jc w:val="center"/>
        <w:ind w:right="820"/>
        <w:spacing w:after="0"/>
        <w:rPr>
          <w:sz w:val="20"/>
          <w:szCs w:val="20"/>
          <w:color w:val="auto"/>
        </w:rPr>
      </w:pPr>
      <w:r>
        <w:rPr>
          <w:rFonts w:ascii="Arial" w:cs="Arial" w:eastAsia="Arial" w:hAnsi="Arial"/>
          <w:sz w:val="14"/>
          <w:szCs w:val="14"/>
          <w:b w:val="1"/>
          <w:bCs w:val="1"/>
          <w:color w:val="auto"/>
        </w:rPr>
        <w:t>Company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1000 Abernathy Road, Suite 260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Atlanta, Georgia 30328</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(770) 829-3700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w:t>
      </w:r>
      <w:r>
        <w:rPr>
          <w:sz w:val="20"/>
          <w:szCs w:val="20"/>
          <w:color w:val="auto"/>
        </w:rPr>
        <w:tab/>
      </w:r>
      <w:r>
        <w:rPr>
          <w:rFonts w:ascii="Arial" w:cs="Arial" w:eastAsia="Arial" w:hAnsi="Arial"/>
          <w:sz w:val="18"/>
          <w:szCs w:val="18"/>
          <w:b w:val="1"/>
          <w:bCs w:val="1"/>
          <w:color w:val="auto"/>
        </w:rPr>
        <w:t>8.01. Other Events.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September 7, 2016, Beazer Homes USA, Inc. issued a press release announcing certain preliminary results of operations for the first two months of the fourth quarter of fiscal year 2016. A copy of the press release is attached hereto as Exhibit 99.1 and incorporated by reference herein.</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9.01. 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7, 2016.</w:t>
      </w:r>
    </w:p>
    <w:p>
      <w:pPr>
        <w:sectPr>
          <w:pgSz w:w="11900" w:h="16838" w:orient="portrait"/>
          <w:cols w:equalWidth="0" w:num="1">
            <w:col w:w="11320"/>
          </w:cols>
          <w:pgMar w:left="240" w:top="27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BEAZER HOMES USA, INC.</w:t>
      </w:r>
    </w:p>
    <w:p>
      <w:pPr>
        <w:spacing w:after="0" w:line="33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Kenneth F.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Kenneth F. Khoury</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Executive Vice President, Chief Administrative Officer</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400"/>
          </w:cols>
          <w:pgMar w:left="240" w:top="270" w:right="2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7, 2016.</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63345" cy="951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Beazer Homes Announces Preliminary Operating Results</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ATLANTA — September 7, 2016 </w:t>
      </w:r>
      <w:r>
        <w:rPr>
          <w:rFonts w:ascii="Arial" w:cs="Arial" w:eastAsia="Arial" w:hAnsi="Arial"/>
          <w:sz w:val="18"/>
          <w:szCs w:val="18"/>
          <w:color w:val="auto"/>
        </w:rPr>
        <w:t>— In conjunction with its announced proposed Senior Offering, Beazer Homes USA, Inc. (NYSE: BZH)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announced the following results for the first two months of its fiscal fourth quarter. New orders rose 23% compared to the same period of the prior fiscal year, primarily driven by an improved absorption pace, as community count was relatively flat over the time period. Additionally, the Company continues to expect its fourth quarter backlog conversion ratio to be between 75-80%.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Beazer Homes USA, Inc.</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Headquartered in Atlanta, Beazer Homes is a geographically diversified homebuilder with active operations in 13 states within three geographic regions in the United States. The Company’s homes meet or exceed the benchmark for energy-efficient home construction as established by ENERGY STAR</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and are designed with Choice Plans to meet the personal preferences and lifestyles of its buyers. In addition, the Company is committed to providing a range of preferred lender choices to facilitate transparent competition between lenders and enhanced customer service. The Company’s active operations are in the following states: Arizona, California Delaware, Florida, Georgia, Indiana, Maryland, Nevada, North Carolina, South Carolina, Tennessee, Texas and Virginia. Beazer Homes is listed on the New York Stock Exchange under the ticker symbol “BZH.”</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This press release contains forward-looking statements. These forward-looking statements represent our expectations or beliefs concerning future events, and it is possible that the results described in this press release will not be achieved. These forward-looking statements are subject to risks, uncertainties and other factors, many of which are outside of our control, that could cause actual results to differ materially from the results discussed in the forward-looking statements, including, among other things: (i) economic changes nationally or in local markets, changes in consumer confidence, declines in employment levels, inflation or increases in the quantity and decreases in the price of new homes and resale homes on the market; (ii) the cyclical nature of the homebuilding industry and a potential deterioration in homebuilding industry conditions; (iii) factors affecting margins such as decreased land values underlying land option agreements, increased land development costs on communities under development or delays or difficulties in implementing initiatives to reduce production and overhead cost structure; (iv) our cost of and ability to access capital, due to factors such as limitations in the capital markets or adverse credit market conditions, and otherwise meet our ongoing liquidity needs, including the impact of any downgrades of our credit ratings or reductions in our tangible net worth or liquidity levels; (v) our ability to reduce our outstanding indebtedness and to comply with covenants in our debt agreements or satisfy such obligations through repayment or refinancing; (vi) the availability and cost of land and the risks associated with the future value of</w:t>
      </w:r>
    </w:p>
    <w:p>
      <w:pPr>
        <w:sectPr>
          <w:pgSz w:w="11900" w:h="16838" w:orient="portrait"/>
          <w:cols w:equalWidth="0" w:num="1">
            <w:col w:w="11420"/>
          </w:cols>
          <w:pgMar w:left="240" w:top="121"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inventory, such as additional asset impairment charges or writedowns; (vii) estimates related to homes to be delivered in the future (backlog) are imprecise, as they are subject to various cancellation risks that cannot be fully controlled; (viii) shortages of or increased prices for labor, land or raw materials used in housing production and the level of quality and craftsmanship provided by our subcontractors; (ix) a substantial increase in mortgage interest rates, increased disruption in the availability of mortgage financing, a change in tax laws regarding the deductibility of mortgage interest, or an increased number of foreclosures; (x) increased competition or delays in reacting to changing consumer preference in home design; (xi) continuing severe weather conditions or other related events could result in delays in land development or home construction, increase our costs or decrease demand in the impacted areas; (xii) estimates related to the potential recoverability of our deferred tax assets; (xiii) potential delays or increased costs in obtaining necessary permits as a result of changes to, or complying with, laws, regulations, or governmental policies and possible penalties for failure to comply with such laws, regulations or governmental policies, including these related to the environment; (xiv) the results of litigation or government proceedings and fulfillment of the obligations in the consent orders with governmental authorities and other settlement agreements; (xv) the impact of construction defect and home warranty claims, including water intrusion issues in Florida; (xvi) the cost and availability of insurance and surety bonds; (xvii) the performance of our unconsolidated entities and our unconsolidated entity partners; (xviii) the impact of information technology failures or data security breaches; (xix) terrorist acts, natural disasters, acts of war or other factors over which the Company has little or no control; or (xx) the impact on homebuilding in key markets of governmental regulations limiting the availability of water.</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Any forward-looking statement speaks only as of the date on which such statement is made, and, except as required by law, we do not undertake any obligation to update or revise any forward-looking statement, whether as a result of new information, future events or otherwise. New factors emerge from time to time and it is not possible for management to predict all such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Beazer Homes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I. Goldberg, 770-829-3700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Treasury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investor.relations@beazer.com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2019-12-06T04:15:29Z</dcterms:created>
  <dcterms:modified xsi:type="dcterms:W3CDTF">2019-12-06T04:15:29Z</dcterms:modified>
</cp:coreProperties>
</file>