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98d2_defa14a.htm"/>
      <w:bookmarkStart w:id="1" w:name="kstm2622398d2_defa14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reported event):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001-12822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58-2086934</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2002 Summit Boulevard, 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Georgia 30319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(770) 829-3700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750"/>
        <w:gridCol w:w="1610"/>
        <w:gridCol w:w="3710"/>
      </w:tblGrid>
      <w:tr>
        <w:trPr/>
        <w:tc>
          <w:tcPr>
            <w:tcW w:w="27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$0.001 par value</w:t>
            </w:r>
          </w:p>
        </w:tc>
        <w:tc>
          <w:tcPr>
            <w:tcW w:w="16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BZH</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Beazer Homes USA, Inc., a Delaware corporation (the “Company”), entered into an Agreement and Plan of Merger (the “Merger Agreement”) with Dream Finders Homes, Inc., a Texas corporation (“Parent”), and Bulldogs Merger Sub, Inc., a Delaware corporation and a wholly owned Subsidiary of Parent (“Merger Sub”), pursuant to which, on the terms and subject to the conditions set forth in the Merger Agreement, Merger Sub will merge with and into the Company (the “Merger”), with the Company continuing as the surviving corporation in the Merger as a wholly owned subsidiary of Parent. Capitalized terms used herein but not otherwise defined have the meaning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has unanimously approved and declared advisable the Merger Agreement and the transactions contemplated thereby (the “Transactions”), including the Merger, determined that the Merger Agreement and the Transactions are advisable, fair to and in the best interests of the Company and its stockholders, and, subject to the terms of the Merger Agreement, resolved to recommend that the Company’s stockholders adopt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Merger Agreement, at the effective time of the Merger (the “Effective Time”), and as a result of the Merger, each share of common stock, par value $0.001 per share, of the Company (each, a “Share”) that is issued and outstanding immediately prior to the Effective Time (other than Shares held by the Company as treasury stock, Shares held by Parent or Merger Sub, and Shares held by any direct or indirect wholly owned subsidiary of the Company or Parent (other than Merger Sub), in each case, immediately prior to the Effective Time, and Dissenting Shares) will be converted into the right to receive $33.50 per Share in cash, without interest (the “Merger Consideration”), and subject to any required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immediately prior to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option to purchase Shares granted under the Company Equity Plan (each, a “Company Option”) that is outstanding and unexercised, whether vested or unvested, as of immediately prior to the Effective Time will be fully vested, cancelled and converted into the right to receive an amount in cash (without interest), if any, equal to the product of (A) the total number of Shares subject to such Company Option, multiplied by (B) the excess, if any, of the Merger Consideration over the exercise price per share under such Company Option, less applicable Taxes required to be withheld with respect to such payment; provided, however, that any Company Option which has a per share exercise price that is greater than or equal to the Merger Consideration will be cancelled at the Effective Time for no consideration or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award granted under the Company Equity Plan (each, a “Company RSA”) (other than Company RSAs issued in the Company’s 2027 fiscal year, which will be assumed by Parent and converted into restricted stock awards related to a number of shares of Parent common stock of an equivalent fair market value), whether vested or unvested, that is outstanding as of immediately prior to the Effective Time will be cancelled and converted into the right to receive an amount in cash (without interest) equal to the product of (A) the aggregate number of Shares subject to such Company RSA, multiplied by (B) the Merger Consideration, less applicable Taxes required to be withheld with respect to such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performance-based restricted stock award granted under the Company Equity Plan (each, a “Company Performance-Based RSA”), whether vested or unvested, that is outstanding as of immediately prior to the Effective Time will be cancelled and converted into the right to receive an amount in cash (without interest) equal to the product of (A) the total number of Shares subject to such Company Performance-Based RSA (with the performance conditions for any uncompleted periods deemed achieved at target level), multiplied by (B) the Merger Consideration, less applicable Taxes required to be withheld with respect to such payment;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performance-based cash award granted under the Company Equity Plan (each, a “Company Performance-Based Cash Award”) that is outstanding as of immediately prior to the Effective Time will be cancelled and converted into the right to receive an amount in cash (without interest) equal to the value of such Company Performance-Based Cash Award (with the performance conditions for any uncompleted periods deemed achieved at target level).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Dissenting Shares will be cancelled and cease to exist, and the holders of Dissenting Shares will only be entitled to the rights granted to them under Section 262 of the General Corporation Law of the State of Delaware (the “DGCL”) with respect to such Dissenting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consummated, the Shares will be delisted from the New York Stock Exchange and deregistered under the Securities Exchange Act of 1934, as amended (the “Exchange Act”), as soon as practicable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satisfaction of the conditions set forth in the Merger Agreement and briefly discussed below, the Company expects the Merger to close in the fourth quarter of 2026. Consummation of the Merger is subject to certain conditions set forth in the Merger Agreement, including, but not limited to, the: (i) adoption of the Merger Agreement by the affirmative vote of the holders of a majority of the voting power represented by the outstanding Shares entitled to vote thereon (the “Requisite Company Stockholder Approval”); (ii) expiration or termination of any waiting period applicable to the Transactions under the Hart-Scott-Rodino Antitrust Improvements Act of 1976, as amended, and the rules and regulations promulgated thereunder (the “HSR Act”); (iii) absence of any law, order or injunction enacted or issued restraining, enjoining or otherwise prohibiting the Merger; (iv) the accuracy of each party’s representations and warranties, subject to certain standards set forth in the Merger Agreement; (v) each party’s compliance in all material respects with their respective covenants under the Merger Agreement; and (vi) the absence of a Company Material Adverse Effect since the date of the Merger Agreement. The obligations of Parent and Merger Sub to consummate the Merger are not subject to any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execution of the Merger Agreement until the earlier to occur of the termination of the Merger Agreement and the Effective Time, the Company will be subject to customary “no-shop” restrictions on its ability to solicit alternative Acquisition Proposals from third parties and to provide information to, and participate in discussions and negotiations with, third parties regarding any alternative Acquisition Proposals, subject to a customary “fiduciary out” provision that allows the Company, under certain specified circumstances, to provide information to, and participate or engage in discussions or negotiations with, third parties with respect to an Acquisition Proposal if the Board determines in good faith (after consultation with the Company’s independent financial advisor and outside legal counsel) that such alternative Acquisition Proposal either constitutes a Superior Proposal or would reasonably be expected to result in a Superior Proposal, and that the failure to take such actions would reasonably be expected to be inconsistent with the directors’ fiduciary duties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the Company, on the one hand, and Parent and Merger Sub, on the other hand. Upon termination of the Merger Agreement under specified circumstances, including (i) the Company terminating the Merger Agreement to enter into an Alternative Acquisition Agreement providing for a Superior Proposal, or (ii) Parent terminating the Merger Agreement due to the Board’s change of its recommendation that stockholders adopt the Merger Agreement and approve the Transactions, including the Merger, in each case pursuant to and in accordance with the “fiduciary out” provisions of the Merger Agreement, the Company will be required to pay Parent a termination fee of $31.3 million (the “Company Termination Fee”). The Company Termination Fee will also be payable by the Company if the Merger Agreement is terminated under certain circumstances and prior to such termination (or at least two business days prior to the date of the Company Meeting in the case of termination for failure to receive the Requisite Company Stockholder Approval), a bona fide Acquisition Proposal has been publicly disclosed or made known to the Board and, if publicly disclosed, has not been publicly withdrawn, and the Company enters into a definitive agreement with respect to, or consummates, an Acquisition Proposal within 12 months after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termination rights, and subject to certain limitations, the Company or Parent may terminate the Merger Agreement if the Merger is not consummated by the Outside Date (which is six months from the date of the Merger Agreement, subject to an automatic three-month extension if the conditions relating to regulatory approvals or the absence of a legal impediment relating to specified governmental consents have not been satisfied but all other conditions set forth in the Merger Agreement have been satisfied or are capable of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made customary representations and warranties in the Merger Agreement and agreed to customary covenants regarding the operation of the business of the Company and its Subsidiaries prior to the consummation of the Merger. The Merger Agreement also provides that the Company, on the one hand, or Parent and Merger Sub, on the other hand, may specifically enforce the obligations under the Merger Agreement, including the obligation to consummate the Merger if the conditions set forth in the Merger Agreement are satisfied. The parties to the Merger Agreement have also agreed to use their respective reasonable best efforts and take certain actions to obtain the requisite regulatory approvals for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does not purport to be complete, and is subject to, and qualified in its entirety by reference to, the full text of the Merger Agreement, which is attached as Exhibit 2.1 and is incorporated by reference herein. The Merger Agreement has been included to provide investors with information regarding its terms. It is not intended to provide any other factual information about the Company, Parent, Merger Sub or their respective Subsidiaries or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Parent has obtained debt financing commitments from certain financial institutions, which will be used to finance a portion of the consideration due under the Merger Agreement and fees and expenses related to the Transactions, subject to the terms and conditions set forth in the related debt commitment letters. The obligations of Parent and Merger Sub to consummate the Merger are not subject to any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Voting and Support Agreement (the “Voting Agreement”) with Parent, pursuant to which Parent has agreed to vote all of Parent’s Shares in accordance with the terms thereof, including in favor of the adoption of the Merger Agreement and the approval of the Merger and any proposal to adjourn or postpone any meeting of the Company’s stockholders to a later date if there are not sufficient votes to approve the Merger Agreement and against any Adverse Proposal (as defined in the Voting Agreement), including any Acquisition Proposal and any other action, proposal or transaction that would reasonably be expected to impede, interfere with, delay, postpone, discourage or prevent the consummation of, or otherwise materially adversely affect, the Merger or the other Transactions. The Voting Agreement also includes certain restrictions on transfer of Parent’s Shares and will terminate upon the earlier of the Effective Time and the valid termination of the Merger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Voting Agreement does not purport to be complete and is subject to, and qualified in its entirety by, the full text of the Voting Agreement, which is attached as Exhibit 10.1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830"/>
        <w:gridCol w:w="63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5.03</w:t>
            </w:r>
          </w:p>
        </w:tc>
        <w:tc>
          <w:tcPr>
            <w:tcW w:w="6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Board adopted an amendment (the “Amendment”) to the Fourth Amended and Restated Bylaws of the Company (the “Bylaws”), which became effective immediately. The Amendment provides that, unless the Company consents in writing to the selection of an alternative forum, (a) the Court of Chancery of the State of Delaware (or, if the Court of Chancery of the State of Delaware lacks subject matter jurisdiction, the federal district court for the District of Delaware) will be the sole and exclusive forum for any current or former stockholder to bring certain corporate law matters and actions or proceedings asserting an “internal corporate claim,” as that term is defined in Section 115 of the DGCL, and (b) the federal district courts of the United States of America will be exclusive forum for any complaint asserting a cause of action arising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not complete and is qualified in its entirety by reference to the Amendment, which is attached as Exhibit 3.1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and Parent issued a joint press release announcing that the Company and Parent had entered into the Merger Agreement. A copy of the press release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pursuant to this Item 7.01, including Exhibit 99.1 in Item 9.01, is “furnished” and shall not be deemed to be “filed” with the SEC or incorporated by reference in any filing under the Exchange Act or the Securities Act except as shall be expressly set forth by specific reference in any such filings.</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2398d2_ex2-1.htm">
              <w:r>
                <w:rPr>
                  <w:rStyle w:val="InternetLink"/>
                  <w:rFonts w:ascii="Times New Roman;Times;Serif" w:hAnsi="Times New Roman;Times;Serif"/>
                  <w:sz w:val="20"/>
                </w:rPr>
                <w:t>2.1</w:t>
              </w:r>
            </w:hyperlink>
          </w:p>
        </w:tc>
        <w:tc>
          <w:tcPr>
            <w:tcW w:w="9810" w:type="dxa"/>
            <w:tcBorders/>
            <w:vAlign w:val="center"/>
          </w:tcPr>
          <w:p>
            <w:pPr>
              <w:pStyle w:val="TableContents"/>
              <w:bidi w:val="0"/>
              <w:spacing w:before="0" w:after="283"/>
              <w:jc w:val="left"/>
              <w:rPr/>
            </w:pPr>
            <w:hyperlink w:anchor="tm2622398d2_ex2-1.htm">
              <w:r>
                <w:rPr>
                  <w:rStyle w:val="InternetLink"/>
                  <w:rFonts w:ascii="Times New Roman;Times;Serif" w:hAnsi="Times New Roman;Times;Serif"/>
                  <w:sz w:val="20"/>
                </w:rPr>
                <w:t>Agreement and Plan of Merger, dated as of August 6, 2026, by and among Beazer Homes USA, Inc., Dream Finders Homes, Inc. and Bulldogs Merger Sub, Inc.</w:t>
              </w:r>
            </w:hyperlink>
          </w:p>
        </w:tc>
      </w:tr>
      <w:tr>
        <w:trPr/>
        <w:tc>
          <w:tcPr>
            <w:tcW w:w="395" w:type="dxa"/>
            <w:tcBorders/>
            <w:vAlign w:val="center"/>
          </w:tcPr>
          <w:p>
            <w:pPr>
              <w:pStyle w:val="TableContents"/>
              <w:bidi w:val="0"/>
              <w:spacing w:before="0" w:after="283"/>
              <w:jc w:val="left"/>
              <w:rPr/>
            </w:pPr>
            <w:hyperlink w:anchor="tm2622398d2_ex3-1.htm">
              <w:r>
                <w:rPr>
                  <w:rStyle w:val="InternetLink"/>
                  <w:rFonts w:ascii="Times New Roman;Times;Serif" w:hAnsi="Times New Roman;Times;Serif"/>
                  <w:sz w:val="20"/>
                </w:rPr>
                <w:t>3.1</w:t>
              </w:r>
            </w:hyperlink>
          </w:p>
        </w:tc>
        <w:tc>
          <w:tcPr>
            <w:tcW w:w="9810" w:type="dxa"/>
            <w:tcBorders/>
            <w:vAlign w:val="center"/>
          </w:tcPr>
          <w:p>
            <w:pPr>
              <w:pStyle w:val="TableContents"/>
              <w:bidi w:val="0"/>
              <w:spacing w:before="0" w:after="283"/>
              <w:jc w:val="left"/>
              <w:rPr/>
            </w:pPr>
            <w:hyperlink w:anchor="tm2622398d2_ex3-1.htm">
              <w:r>
                <w:rPr>
                  <w:rStyle w:val="InternetLink"/>
                  <w:rFonts w:ascii="Times New Roman;Times;Serif" w:hAnsi="Times New Roman;Times;Serif"/>
                  <w:sz w:val="20"/>
                </w:rPr>
                <w:t>Amendment to the Fourth Amended and Restated Bylaws of Beazer Homes USA, Inc.</w:t>
              </w:r>
            </w:hyperlink>
          </w:p>
        </w:tc>
      </w:tr>
      <w:tr>
        <w:trPr/>
        <w:tc>
          <w:tcPr>
            <w:tcW w:w="395" w:type="dxa"/>
            <w:tcBorders/>
            <w:vAlign w:val="center"/>
          </w:tcPr>
          <w:p>
            <w:pPr>
              <w:pStyle w:val="TableContents"/>
              <w:bidi w:val="0"/>
              <w:spacing w:before="0" w:after="283"/>
              <w:jc w:val="left"/>
              <w:rPr/>
            </w:pPr>
            <w:hyperlink w:anchor="tm2622398d2_ex10-1.htm">
              <w:r>
                <w:rPr>
                  <w:rStyle w:val="InternetLink"/>
                  <w:rFonts w:ascii="Times New Roman;Times;Serif" w:hAnsi="Times New Roman;Times;Serif"/>
                  <w:sz w:val="20"/>
                </w:rPr>
                <w:t>10.1</w:t>
              </w:r>
            </w:hyperlink>
          </w:p>
        </w:tc>
        <w:tc>
          <w:tcPr>
            <w:tcW w:w="9810" w:type="dxa"/>
            <w:tcBorders/>
            <w:vAlign w:val="center"/>
          </w:tcPr>
          <w:p>
            <w:pPr>
              <w:pStyle w:val="TableContents"/>
              <w:bidi w:val="0"/>
              <w:spacing w:before="0" w:after="283"/>
              <w:jc w:val="left"/>
              <w:rPr/>
            </w:pPr>
            <w:hyperlink w:anchor="tm2622398d2_ex10-1.htm">
              <w:r>
                <w:rPr>
                  <w:rStyle w:val="InternetLink"/>
                  <w:rFonts w:ascii="Times New Roman;Times;Serif" w:hAnsi="Times New Roman;Times;Serif"/>
                  <w:sz w:val="20"/>
                </w:rPr>
                <w:t>Voting and Support Agreement, dated as of August 6, 2026, by and between Beazer Homes USA, Inc. and Dream Finders Homes, Inc.</w:t>
              </w:r>
            </w:hyperlink>
          </w:p>
        </w:tc>
      </w:tr>
      <w:tr>
        <w:trPr/>
        <w:tc>
          <w:tcPr>
            <w:tcW w:w="395" w:type="dxa"/>
            <w:tcBorders/>
            <w:vAlign w:val="center"/>
          </w:tcPr>
          <w:p>
            <w:pPr>
              <w:pStyle w:val="TableContents"/>
              <w:bidi w:val="0"/>
              <w:spacing w:before="0" w:after="283"/>
              <w:jc w:val="left"/>
              <w:rPr/>
            </w:pPr>
            <w:hyperlink w:anchor="tm2622398d2_ex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w:anchor="tm2622398d2_ex99-1.htm">
              <w:r>
                <w:rPr>
                  <w:rStyle w:val="InternetLink"/>
                  <w:rFonts w:ascii="Times New Roman;Times;Serif" w:hAnsi="Times New Roman;Times;Serif"/>
                  <w:sz w:val="20"/>
                </w:rPr>
                <w:t>Joint Press Release dated August 7, 2026</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(including the exhibits hereto) includes certain disclosures which contain “forward-looking statements” within the meaning of the Private Securities Litigation Reform Act of 1995, Section 27A of the Securities Act of 1933, as amended, and Section 21E of the Exchange Act. Forward-looking statements include, but are not limited to, statements concerning the Company’s expectations, beliefs, plans, intentions, strategies or prospects with respect to the proposed Transactions. These statements are often identified by the use of words such as “anticipate,” “believe,” “continue,” “could,” “estimate,” “expect,” “intend,” “may,” “plan,” “hope,” “hopeful,” “likely,” “optimistic,” “possible,” “potential,” “preliminary,” “project,” “should,” “will,” “would” or the negative or plural of these words or similar expressions or variations. Forward-looking statements are made based upon management’s current expectations and beliefs and are not guarantees of future results. Such forward-looking statements are subject to a number of risks, uncertainties, assumptions and other factors that could cause actual results and the timing of certain events to differ materially from future results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and other factors that may cause actual results to differ materially from such plans, estimates or expectations include, among others: (i) the ability of the parties to complete the Transactions on the anticipated terms and timing, or at all, (ii) the satisfaction or waiver of other conditions to the completion of the Transactions, including obtaining required stockholder and regulatory approvals; (iii) the risk that the Company’s stock price may fluctuate during the pendency of the Transactions and may decline if the Transactions are not completed; (iv) potential litigation relating to the Transactions that could be instituted against the Company or its directors or officers, including the delay, expense or other effects of any outcomes related thereto; (v) the risk that disruptions from the Transactions will harm the Company’s business, including current plans and operations, during the pendency of the Transactions; (vi) the ability of the Company to retain, motivate, and hire key personnel; (vii) the diversion of management’s time and attention from ordinary course business operations to complete the Transactions; (viii) potential adverse reactions or changes to business relationships resulting from the announcement, pendency or completion of the Transactions; (ix) legislative, regulatory and economic developments; (x) potential business uncertainty during the pendency of the Transactions that could affect the Company’s financial performance; (xi) certain restrictions during the pendency of the Transactions that may impact the Company’s ability to pursue certain business opportunities or strategic transactions; (xii) unpredictability and severity of catastrophic events, including but not limited to geopolitical disruptions, acts of terrorism, outbreaks of war or hostilities or global pandemics, as well as management’s response to any of the aforementioned factors; (xiii) the possibility that the Transactions may be more expensive to complete than anticipated, including as a result of unexpected factors or events; (xiv) the occurrence of any event, change or other circumstance that could give rise to the termination of the Transactions, including in circumstances requiring the Company to pay a termination fee; (xv) other risks set forth under the headings “Forward Looking Statements” and “Risk Factors” in the Company’s most recent Annual Report on Form 10-K, as such risk factors may be amended, supplemented or superseded from time to time by other reports filed by the Company with the SEC from time to time, which are available via the SEC’s website at www.sec.gov; and (xvi) those risks that will be described in the proxy statement that will be filed with the SEC and available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as well as other risks associated with the Transactions, will be more fully discussed in the proxy statement that will be filed with the SEC in connection with the Transactions. There can be no assurance that the Transactions will be completed, or if they are completed, that they will close within the anticipated time period. These factors should not be construed as exhaustive and should be read in conjunction with the other forward-looking statements. The forward-looking statements relate only to events as of the date on which the statements are made. The Company undertakes no duty to update publicly any forward-looking statements except as required by law, whether as a result of new information, future events or otherwise. 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communication that could cause actual results to differ. Furthermore, new risks and uncertainties arise from time to time, and it is impossible for us to predict those events or how they may affect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sell or the solicitation of an offer to buy or sell any securities or a solicitation of any vote or approval. This communication relates to a proposed acquisition of the Company by Parent. In connection with this proposed acquisition, the Company plans to file one or more proxy statements or other documents with the SEC. This communication is not a substitute for any proxy statement or other document that the Company may file with the SEC in connection with the Transactions. INVESTORS AND SECURITY HOLDERS OF THE COMPANY ARE URGED TO READ THE PROXY STATEMENT AND OTHER DOCUMENTS THAT MAY BE FILED WITH THE SEC CAREFULLY AND IN THEIR ENTIRETY WHEN THEY BECOME AVAILABLE BECAUSE THEY WILL CONTAIN IMPORTANT INFORMATION. Any definitive proxy statement(s) (if and when available) will be mailed to stockholders of the Company. Investors and security holders will be able to obtain free copies of these documents (if and when available) and other documents filed with the SEC by the Company through the website maintained by the SEC at http://www.sec.gov. Copies of the documents filed with the SEC by the Company will be available free of charge on the Investor Relations portion of the Company’s internet website at www.beazer.com or upon written request to the Company at 2002 Summit Boulevard,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Atlanta, GA 30319, 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may be deemed to be participants in the solicitation of proxies from stockholders of the Company in connection with the Transactions. Information about the Company’s directors and executive officers is set forth in its Proxy Statement on Schedule 14A for its 2026 annual meeting of stockholders (the “2026 Proxy Statement”), which was filed with the SEC on December 22, 2025. In addition, Parent and certain of its directors and executive officers may be deemed to be participants in the solicitation of proxies from the stockholders of the Company in connection with the Transactions. Information about certain of Parent’s directors and executive officers is set forth in Parent’s proxy statement for its 2026 annual meeting of stockholders on Schedule 14A filed with the SEC on April 16, 2026, Parent’s Annual Report on Form 10-K filed with the SEC on February 24, 2026, and any subsequent filings with the SEC. To the extent that holdings of the Company’s securities by its directors or executive officers have changed since the amounts set forth in the 2026 Proxy Statement, such changes have been or will be reflected on Initial Statements of Beneficial Ownership on Form 3 or Statements of Change in Ownership on Form 4 filed with the SEC. These documents are available free of charge at the SEC’s web site at www.sec.gov and from the Company’s website (www.beazer.com) and Parent's website (www.dreamfindershomes.com). Additional information regarding the identity of the participants, and their respective direct and indirect interests in the Transactions, by security holdings or otherwise, will be set forth in the proxy statement and other relevant materials to be filed with the SEC in connection with the Transactions (if and when they become available).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075"/>
        <w:gridCol w:w="650"/>
        <w:gridCol w:w="4520"/>
      </w:tblGrid>
      <w:tr>
        <w:trPr/>
        <w:tc>
          <w:tcPr>
            <w:tcW w:w="20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BEAZER HOMES USA, INC.</w:t>
            </w:r>
          </w:p>
        </w:tc>
      </w:tr>
      <w:tr>
        <w:trPr/>
        <w:tc>
          <w:tcPr>
            <w:tcW w:w="20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520" w:type="dxa"/>
            <w:tcBorders>
              <w:bottom w:val="single" w:sz="8" w:space="0" w:color="000000"/>
            </w:tcBorders>
            <w:tcMar>
              <w:bottom w:w="28" w:type="dxa"/>
            </w:tcMar>
            <w:vAlign w:val="center"/>
          </w:tcPr>
          <w:p>
            <w:pPr>
              <w:pStyle w:val="TableContents"/>
              <w:bidi w:val="0"/>
              <w:spacing w:before="0" w:after="283"/>
              <w:jc w:val="left"/>
              <w:rPr/>
            </w:pPr>
            <w:r>
              <w:rPr/>
              <w:t>/s/ Allan P. Merrill</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20" w:type="dxa"/>
            <w:tcBorders/>
            <w:vAlign w:val="center"/>
          </w:tcPr>
          <w:p>
            <w:pPr>
              <w:pStyle w:val="TableContents"/>
              <w:bidi w:val="0"/>
              <w:spacing w:before="0" w:after="283"/>
              <w:jc w:val="left"/>
              <w:rPr/>
            </w:pPr>
            <w:r>
              <w:rPr/>
              <w:t>Allan P. Merrill</w:t>
            </w:r>
          </w:p>
        </w:tc>
      </w:tr>
      <w:tr>
        <w:trPr/>
        <w:tc>
          <w:tcPr>
            <w:tcW w:w="2075" w:type="dxa"/>
            <w:tcBorders/>
            <w:vAlign w:val="center"/>
          </w:tcPr>
          <w:p>
            <w:pPr>
              <w:pStyle w:val="TableContents"/>
              <w:bidi w:val="0"/>
              <w:spacing w:before="0" w:after="283"/>
              <w:jc w:val="left"/>
              <w:rPr/>
            </w:pPr>
            <w:r>
              <w:rPr/>
              <w:t>Date: August 7, 2026</w:t>
            </w:r>
          </w:p>
        </w:tc>
        <w:tc>
          <w:tcPr>
            <w:tcW w:w="650" w:type="dxa"/>
            <w:tcBorders/>
            <w:vAlign w:val="center"/>
          </w:tcPr>
          <w:p>
            <w:pPr>
              <w:pStyle w:val="TableContents"/>
              <w:bidi w:val="0"/>
              <w:spacing w:before="0" w:after="283"/>
              <w:jc w:val="left"/>
              <w:rPr/>
            </w:pPr>
            <w:r>
              <w:rPr/>
              <w:t>Title:</w:t>
            </w:r>
          </w:p>
        </w:tc>
        <w:tc>
          <w:tcPr>
            <w:tcW w:w="4520" w:type="dxa"/>
            <w:tcBorders/>
            <w:vAlign w:val="center"/>
          </w:tcPr>
          <w:p>
            <w:pPr>
              <w:pStyle w:val="TableContents"/>
              <w:bidi w:val="0"/>
              <w:spacing w:before="0" w:after="283"/>
              <w:jc w:val="left"/>
              <w:rPr/>
            </w:pPr>
            <w:r>
              <w:rPr/>
              <w:t>Chairman, 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398d2_ex2-1.htm"/>
      <w:bookmarkStart w:id="3" w:name="kstm2622398d2_ex21"/>
      <w:bookmarkEnd w:id="2"/>
      <w:bookmarkEnd w:id="3"/>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DREAM </w:t>
      </w:r>
      <w:r>
        <w:rPr>
          <w:rFonts w:ascii="Times New Roman;Times;Serif" w:hAnsi="Times New Roman;Times;Serif"/>
          <w:b/>
          <w:i w:val="false"/>
          <w:caps/>
          <w:sz w:val="20"/>
        </w:rPr>
        <w:t>FINDERS HOMES,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Bulldogs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09" w:type="dxa"/>
        <w:jc w:val="left"/>
        <w:tblInd w:w="0" w:type="dxa"/>
        <w:tblLayout w:type="fixed"/>
        <w:tblCellMar>
          <w:top w:w="0" w:type="dxa"/>
          <w:left w:w="0" w:type="dxa"/>
          <w:bottom w:w="0" w:type="dxa"/>
          <w:right w:w="0" w:type="dxa"/>
        </w:tblCellMar>
      </w:tblPr>
      <w:tblGrid>
        <w:gridCol w:w="535"/>
        <w:gridCol w:w="6969"/>
        <w:gridCol w:w="605"/>
      </w:tblGrid>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jc w:val="right"/>
              <w:rPr>
                <w:u w:val="single"/>
              </w:rPr>
            </w:pPr>
            <w:r>
              <w:rPr>
                <w:u w:val="single"/>
              </w:rPr>
              <w:t>Page</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 The Merger</w:t>
            </w:r>
          </w:p>
        </w:tc>
        <w:tc>
          <w:tcPr>
            <w:tcW w:w="605" w:type="dxa"/>
            <w:tcBorders/>
            <w:vAlign w:val="center"/>
          </w:tcPr>
          <w:p>
            <w:pPr>
              <w:pStyle w:val="TableContents"/>
              <w:bidi w:val="0"/>
              <w:spacing w:before="0" w:after="283"/>
              <w:ind w:left="0" w:right="0" w:firstLine="360"/>
              <w:jc w:val="right"/>
              <w:rPr>
                <w:sz w:val="20"/>
              </w:rPr>
            </w:pPr>
            <w:r>
              <w:rPr>
                <w:sz w:val="20"/>
              </w:rPr>
              <w:t>5</w:t>
            </w:r>
          </w:p>
        </w:tc>
      </w:tr>
      <w:tr>
        <w:trPr/>
        <w:tc>
          <w:tcPr>
            <w:tcW w:w="535" w:type="dxa"/>
            <w:tcBorders/>
            <w:vAlign w:val="center"/>
          </w:tcPr>
          <w:p>
            <w:pPr>
              <w:pStyle w:val="TableContents"/>
              <w:bidi w:val="0"/>
              <w:spacing w:before="0" w:after="283"/>
              <w:jc w:val="left"/>
              <w:rPr>
                <w:sz w:val="20"/>
              </w:rPr>
            </w:pPr>
            <w:r>
              <w:rPr>
                <w:sz w:val="20"/>
              </w:rPr>
              <w:t>1.1</w:t>
            </w:r>
          </w:p>
        </w:tc>
        <w:tc>
          <w:tcPr>
            <w:tcW w:w="6969" w:type="dxa"/>
            <w:tcBorders/>
            <w:vAlign w:val="center"/>
          </w:tcPr>
          <w:p>
            <w:pPr>
              <w:pStyle w:val="TableContents"/>
              <w:bidi w:val="0"/>
              <w:spacing w:before="0" w:after="283"/>
              <w:jc w:val="left"/>
              <w:rPr>
                <w:sz w:val="20"/>
              </w:rPr>
            </w:pPr>
            <w:r>
              <w:rPr>
                <w:sz w:val="20"/>
              </w:rPr>
              <w:t>The Merger</w:t>
            </w:r>
          </w:p>
        </w:tc>
        <w:tc>
          <w:tcPr>
            <w:tcW w:w="605" w:type="dxa"/>
            <w:tcBorders/>
            <w:vAlign w:val="center"/>
          </w:tcPr>
          <w:p>
            <w:pPr>
              <w:pStyle w:val="TableContents"/>
              <w:bidi w:val="0"/>
              <w:spacing w:before="0" w:after="283"/>
              <w:ind w:left="0" w:right="0" w:firstLine="360"/>
              <w:jc w:val="right"/>
              <w:rPr>
                <w:sz w:val="20"/>
              </w:rPr>
            </w:pPr>
            <w:r>
              <w:rPr>
                <w:sz w:val="20"/>
              </w:rPr>
              <w:t>5</w:t>
            </w:r>
          </w:p>
        </w:tc>
      </w:tr>
      <w:tr>
        <w:trPr/>
        <w:tc>
          <w:tcPr>
            <w:tcW w:w="535" w:type="dxa"/>
            <w:tcBorders/>
            <w:vAlign w:val="center"/>
          </w:tcPr>
          <w:p>
            <w:pPr>
              <w:pStyle w:val="TableContents"/>
              <w:bidi w:val="0"/>
              <w:spacing w:before="0" w:after="283"/>
              <w:jc w:val="left"/>
              <w:rPr>
                <w:sz w:val="20"/>
              </w:rPr>
            </w:pPr>
            <w:r>
              <w:rPr>
                <w:sz w:val="20"/>
              </w:rPr>
              <w:t>1.2</w:t>
            </w:r>
          </w:p>
        </w:tc>
        <w:tc>
          <w:tcPr>
            <w:tcW w:w="6969" w:type="dxa"/>
            <w:tcBorders/>
            <w:vAlign w:val="center"/>
          </w:tcPr>
          <w:p>
            <w:pPr>
              <w:pStyle w:val="TableContents"/>
              <w:bidi w:val="0"/>
              <w:spacing w:before="0" w:after="283"/>
              <w:jc w:val="left"/>
              <w:rPr>
                <w:sz w:val="20"/>
              </w:rPr>
            </w:pPr>
            <w:r>
              <w:rPr>
                <w:sz w:val="20"/>
              </w:rPr>
              <w:t>Closing and Effective Time of the Merger</w:t>
            </w:r>
          </w:p>
        </w:tc>
        <w:tc>
          <w:tcPr>
            <w:tcW w:w="605" w:type="dxa"/>
            <w:tcBorders/>
            <w:vAlign w:val="center"/>
          </w:tcPr>
          <w:p>
            <w:pPr>
              <w:pStyle w:val="TableContents"/>
              <w:bidi w:val="0"/>
              <w:spacing w:before="0" w:after="283"/>
              <w:ind w:left="0" w:right="0" w:firstLine="360"/>
              <w:jc w:val="right"/>
              <w:rPr>
                <w:sz w:val="20"/>
              </w:rPr>
            </w:pPr>
            <w:r>
              <w:rPr>
                <w:sz w:val="20"/>
              </w:rPr>
              <w:t>6</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II Conversion of Securities IN THE MERGER</w:t>
            </w:r>
          </w:p>
        </w:tc>
        <w:tc>
          <w:tcPr>
            <w:tcW w:w="605" w:type="dxa"/>
            <w:tcBorders/>
            <w:vAlign w:val="center"/>
          </w:tcPr>
          <w:p>
            <w:pPr>
              <w:pStyle w:val="TableContents"/>
              <w:bidi w:val="0"/>
              <w:spacing w:before="0" w:after="283"/>
              <w:jc w:val="right"/>
              <w:rPr>
                <w:sz w:val="20"/>
              </w:rPr>
            </w:pPr>
            <w:r>
              <w:rPr>
                <w:sz w:val="20"/>
              </w:rPr>
              <w:t>6</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2.1</w:t>
            </w:r>
          </w:p>
        </w:tc>
        <w:tc>
          <w:tcPr>
            <w:tcW w:w="6969" w:type="dxa"/>
            <w:tcBorders/>
            <w:vAlign w:val="center"/>
          </w:tcPr>
          <w:p>
            <w:pPr>
              <w:pStyle w:val="TableContents"/>
              <w:bidi w:val="0"/>
              <w:spacing w:before="0" w:after="283"/>
              <w:jc w:val="left"/>
              <w:rPr>
                <w:sz w:val="20"/>
              </w:rPr>
            </w:pPr>
            <w:r>
              <w:rPr>
                <w:sz w:val="20"/>
              </w:rPr>
              <w:t>Conversion of Securities</w:t>
            </w:r>
          </w:p>
        </w:tc>
        <w:tc>
          <w:tcPr>
            <w:tcW w:w="605" w:type="dxa"/>
            <w:tcBorders/>
            <w:vAlign w:val="center"/>
          </w:tcPr>
          <w:p>
            <w:pPr>
              <w:pStyle w:val="TableContents"/>
              <w:bidi w:val="0"/>
              <w:spacing w:before="0" w:after="283"/>
              <w:ind w:left="0" w:right="0" w:firstLine="360"/>
              <w:jc w:val="right"/>
              <w:rPr>
                <w:sz w:val="20"/>
              </w:rPr>
            </w:pPr>
            <w:r>
              <w:rPr>
                <w:sz w:val="20"/>
              </w:rPr>
              <w:t>6</w:t>
            </w:r>
          </w:p>
        </w:tc>
      </w:tr>
      <w:tr>
        <w:trPr/>
        <w:tc>
          <w:tcPr>
            <w:tcW w:w="535" w:type="dxa"/>
            <w:tcBorders/>
            <w:vAlign w:val="center"/>
          </w:tcPr>
          <w:p>
            <w:pPr>
              <w:pStyle w:val="TableContents"/>
              <w:bidi w:val="0"/>
              <w:spacing w:before="0" w:after="283"/>
              <w:jc w:val="left"/>
              <w:rPr>
                <w:sz w:val="20"/>
              </w:rPr>
            </w:pPr>
            <w:r>
              <w:rPr>
                <w:sz w:val="20"/>
              </w:rPr>
              <w:t>2.2</w:t>
            </w:r>
          </w:p>
        </w:tc>
        <w:tc>
          <w:tcPr>
            <w:tcW w:w="6969" w:type="dxa"/>
            <w:tcBorders/>
            <w:vAlign w:val="center"/>
          </w:tcPr>
          <w:p>
            <w:pPr>
              <w:pStyle w:val="TableContents"/>
              <w:bidi w:val="0"/>
              <w:spacing w:before="0" w:after="283"/>
              <w:jc w:val="left"/>
              <w:rPr>
                <w:sz w:val="20"/>
              </w:rPr>
            </w:pPr>
            <w:r>
              <w:rPr>
                <w:sz w:val="20"/>
              </w:rPr>
              <w:t>Payment for Securities; Surrender of Certificates</w:t>
            </w:r>
          </w:p>
        </w:tc>
        <w:tc>
          <w:tcPr>
            <w:tcW w:w="605" w:type="dxa"/>
            <w:tcBorders/>
            <w:vAlign w:val="center"/>
          </w:tcPr>
          <w:p>
            <w:pPr>
              <w:pStyle w:val="TableContents"/>
              <w:bidi w:val="0"/>
              <w:spacing w:before="0" w:after="283"/>
              <w:ind w:left="0" w:right="0" w:firstLine="360"/>
              <w:jc w:val="right"/>
              <w:rPr>
                <w:sz w:val="20"/>
              </w:rPr>
            </w:pPr>
            <w:r>
              <w:rPr>
                <w:sz w:val="20"/>
              </w:rPr>
              <w:t>7</w:t>
            </w:r>
          </w:p>
        </w:tc>
      </w:tr>
      <w:tr>
        <w:trPr/>
        <w:tc>
          <w:tcPr>
            <w:tcW w:w="535" w:type="dxa"/>
            <w:tcBorders/>
            <w:vAlign w:val="center"/>
          </w:tcPr>
          <w:p>
            <w:pPr>
              <w:pStyle w:val="TableContents"/>
              <w:bidi w:val="0"/>
              <w:spacing w:before="0" w:after="283"/>
              <w:jc w:val="left"/>
              <w:rPr>
                <w:sz w:val="20"/>
              </w:rPr>
            </w:pPr>
            <w:r>
              <w:rPr>
                <w:sz w:val="20"/>
              </w:rPr>
              <w:t>2.3</w:t>
            </w:r>
          </w:p>
        </w:tc>
        <w:tc>
          <w:tcPr>
            <w:tcW w:w="6969" w:type="dxa"/>
            <w:tcBorders/>
            <w:vAlign w:val="center"/>
          </w:tcPr>
          <w:p>
            <w:pPr>
              <w:pStyle w:val="TableContents"/>
              <w:bidi w:val="0"/>
              <w:spacing w:before="0" w:after="283"/>
              <w:jc w:val="left"/>
              <w:rPr>
                <w:sz w:val="20"/>
              </w:rPr>
            </w:pPr>
            <w:r>
              <w:rPr>
                <w:sz w:val="20"/>
              </w:rPr>
              <w:t>Dissenting Shares</w:t>
            </w:r>
          </w:p>
        </w:tc>
        <w:tc>
          <w:tcPr>
            <w:tcW w:w="605" w:type="dxa"/>
            <w:tcBorders/>
            <w:vAlign w:val="center"/>
          </w:tcPr>
          <w:p>
            <w:pPr>
              <w:pStyle w:val="TableContents"/>
              <w:bidi w:val="0"/>
              <w:spacing w:before="0" w:after="283"/>
              <w:ind w:left="0" w:right="0" w:firstLine="360"/>
              <w:jc w:val="right"/>
              <w:rPr>
                <w:sz w:val="20"/>
              </w:rPr>
            </w:pPr>
            <w:r>
              <w:rPr>
                <w:sz w:val="20"/>
              </w:rPr>
              <w:t>10</w:t>
            </w:r>
          </w:p>
        </w:tc>
      </w:tr>
      <w:tr>
        <w:trPr/>
        <w:tc>
          <w:tcPr>
            <w:tcW w:w="535" w:type="dxa"/>
            <w:tcBorders/>
            <w:vAlign w:val="center"/>
          </w:tcPr>
          <w:p>
            <w:pPr>
              <w:pStyle w:val="TableContents"/>
              <w:bidi w:val="0"/>
              <w:spacing w:before="0" w:after="283"/>
              <w:jc w:val="left"/>
              <w:rPr>
                <w:sz w:val="20"/>
              </w:rPr>
            </w:pPr>
            <w:r>
              <w:rPr>
                <w:sz w:val="20"/>
              </w:rPr>
              <w:t>2.4</w:t>
            </w:r>
          </w:p>
        </w:tc>
        <w:tc>
          <w:tcPr>
            <w:tcW w:w="6969" w:type="dxa"/>
            <w:tcBorders/>
            <w:vAlign w:val="center"/>
          </w:tcPr>
          <w:p>
            <w:pPr>
              <w:pStyle w:val="TableContents"/>
              <w:bidi w:val="0"/>
              <w:spacing w:before="0" w:after="283"/>
              <w:jc w:val="left"/>
              <w:rPr>
                <w:sz w:val="20"/>
              </w:rPr>
            </w:pPr>
            <w:r>
              <w:rPr>
                <w:sz w:val="20"/>
              </w:rPr>
              <w:t>Treatment of Company Awards</w:t>
            </w:r>
          </w:p>
        </w:tc>
        <w:tc>
          <w:tcPr>
            <w:tcW w:w="605" w:type="dxa"/>
            <w:tcBorders/>
            <w:vAlign w:val="center"/>
          </w:tcPr>
          <w:p>
            <w:pPr>
              <w:pStyle w:val="TableContents"/>
              <w:bidi w:val="0"/>
              <w:spacing w:before="0" w:after="283"/>
              <w:ind w:left="0" w:right="0" w:firstLine="360"/>
              <w:jc w:val="right"/>
              <w:rPr>
                <w:sz w:val="20"/>
              </w:rPr>
            </w:pPr>
            <w:r>
              <w:rPr>
                <w:sz w:val="20"/>
              </w:rPr>
              <w:t>10</w:t>
            </w:r>
          </w:p>
        </w:tc>
      </w:tr>
      <w:tr>
        <w:trPr/>
        <w:tc>
          <w:tcPr>
            <w:tcW w:w="535" w:type="dxa"/>
            <w:tcBorders/>
            <w:vAlign w:val="center"/>
          </w:tcPr>
          <w:p>
            <w:pPr>
              <w:pStyle w:val="TableContents"/>
              <w:bidi w:val="0"/>
              <w:spacing w:before="0" w:after="283"/>
              <w:jc w:val="left"/>
              <w:rPr>
                <w:sz w:val="20"/>
              </w:rPr>
            </w:pPr>
            <w:r>
              <w:rPr>
                <w:sz w:val="20"/>
              </w:rPr>
              <w:t>2.5</w:t>
            </w:r>
          </w:p>
        </w:tc>
        <w:tc>
          <w:tcPr>
            <w:tcW w:w="6969" w:type="dxa"/>
            <w:tcBorders/>
            <w:vAlign w:val="center"/>
          </w:tcPr>
          <w:p>
            <w:pPr>
              <w:pStyle w:val="TableContents"/>
              <w:bidi w:val="0"/>
              <w:spacing w:before="0" w:after="283"/>
              <w:jc w:val="left"/>
              <w:rPr>
                <w:sz w:val="20"/>
              </w:rPr>
            </w:pPr>
            <w:r>
              <w:rPr>
                <w:sz w:val="20"/>
              </w:rPr>
              <w:t>Withholding Rights</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sz w:val="20"/>
              </w:rPr>
            </w:pPr>
            <w:r>
              <w:rPr>
                <w:sz w:val="20"/>
              </w:rPr>
              <w:t>2.6</w:t>
            </w:r>
          </w:p>
        </w:tc>
        <w:tc>
          <w:tcPr>
            <w:tcW w:w="6969" w:type="dxa"/>
            <w:tcBorders/>
            <w:vAlign w:val="center"/>
          </w:tcPr>
          <w:p>
            <w:pPr>
              <w:pStyle w:val="TableContents"/>
              <w:bidi w:val="0"/>
              <w:spacing w:before="0" w:after="283"/>
              <w:jc w:val="left"/>
              <w:rPr>
                <w:sz w:val="20"/>
              </w:rPr>
            </w:pPr>
            <w:r>
              <w:rPr>
                <w:sz w:val="20"/>
              </w:rPr>
              <w:t>Adjustments</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sz w:val="20"/>
              </w:rPr>
            </w:pPr>
            <w:r>
              <w:rPr>
                <w:sz w:val="20"/>
              </w:rPr>
              <w:t>2.7</w:t>
            </w:r>
          </w:p>
        </w:tc>
        <w:tc>
          <w:tcPr>
            <w:tcW w:w="6969" w:type="dxa"/>
            <w:tcBorders/>
            <w:vAlign w:val="center"/>
          </w:tcPr>
          <w:p>
            <w:pPr>
              <w:pStyle w:val="TableContents"/>
              <w:bidi w:val="0"/>
              <w:spacing w:before="0" w:after="283"/>
              <w:jc w:val="left"/>
              <w:rPr>
                <w:sz w:val="20"/>
              </w:rPr>
            </w:pPr>
            <w:r>
              <w:rPr>
                <w:sz w:val="20"/>
              </w:rPr>
              <w:t>Further Action</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III Representations and Warranties of the Company</w:t>
            </w:r>
          </w:p>
        </w:tc>
        <w:tc>
          <w:tcPr>
            <w:tcW w:w="605" w:type="dxa"/>
            <w:tcBorders/>
            <w:vAlign w:val="center"/>
          </w:tcPr>
          <w:p>
            <w:pPr>
              <w:pStyle w:val="TableContents"/>
              <w:bidi w:val="0"/>
              <w:spacing w:before="0" w:after="283"/>
              <w:jc w:val="right"/>
              <w:rPr>
                <w:sz w:val="20"/>
              </w:rPr>
            </w:pPr>
            <w:r>
              <w:rPr>
                <w:sz w:val="20"/>
              </w:rPr>
              <w:t>13</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3.1</w:t>
            </w:r>
          </w:p>
        </w:tc>
        <w:tc>
          <w:tcPr>
            <w:tcW w:w="6969" w:type="dxa"/>
            <w:tcBorders/>
            <w:vAlign w:val="center"/>
          </w:tcPr>
          <w:p>
            <w:pPr>
              <w:pStyle w:val="TableContents"/>
              <w:bidi w:val="0"/>
              <w:spacing w:before="0" w:after="283"/>
              <w:jc w:val="left"/>
              <w:rPr>
                <w:sz w:val="20"/>
              </w:rPr>
            </w:pPr>
            <w:r>
              <w:rPr>
                <w:sz w:val="20"/>
              </w:rPr>
              <w:t>Corporate Organization</w:t>
            </w:r>
          </w:p>
        </w:tc>
        <w:tc>
          <w:tcPr>
            <w:tcW w:w="605" w:type="dxa"/>
            <w:tcBorders/>
            <w:vAlign w:val="center"/>
          </w:tcPr>
          <w:p>
            <w:pPr>
              <w:pStyle w:val="TableContents"/>
              <w:bidi w:val="0"/>
              <w:spacing w:before="0" w:after="283"/>
              <w:ind w:left="0" w:right="0" w:firstLine="360"/>
              <w:jc w:val="right"/>
              <w:rPr>
                <w:sz w:val="20"/>
              </w:rPr>
            </w:pPr>
            <w:r>
              <w:rPr>
                <w:sz w:val="20"/>
              </w:rPr>
              <w:t>13</w:t>
            </w:r>
          </w:p>
        </w:tc>
      </w:tr>
      <w:tr>
        <w:trPr/>
        <w:tc>
          <w:tcPr>
            <w:tcW w:w="535" w:type="dxa"/>
            <w:tcBorders/>
            <w:vAlign w:val="center"/>
          </w:tcPr>
          <w:p>
            <w:pPr>
              <w:pStyle w:val="TableContents"/>
              <w:bidi w:val="0"/>
              <w:spacing w:before="0" w:after="283"/>
              <w:jc w:val="left"/>
              <w:rPr>
                <w:sz w:val="20"/>
              </w:rPr>
            </w:pPr>
            <w:r>
              <w:rPr>
                <w:sz w:val="20"/>
              </w:rPr>
              <w:t>3.2</w:t>
            </w:r>
          </w:p>
        </w:tc>
        <w:tc>
          <w:tcPr>
            <w:tcW w:w="6969" w:type="dxa"/>
            <w:tcBorders/>
            <w:vAlign w:val="center"/>
          </w:tcPr>
          <w:p>
            <w:pPr>
              <w:pStyle w:val="TableContents"/>
              <w:bidi w:val="0"/>
              <w:spacing w:before="0" w:after="283"/>
              <w:jc w:val="left"/>
              <w:rPr>
                <w:sz w:val="20"/>
              </w:rPr>
            </w:pPr>
            <w:r>
              <w:rPr>
                <w:sz w:val="20"/>
              </w:rPr>
              <w:t>Capitalization</w:t>
            </w:r>
          </w:p>
        </w:tc>
        <w:tc>
          <w:tcPr>
            <w:tcW w:w="605" w:type="dxa"/>
            <w:tcBorders/>
            <w:vAlign w:val="center"/>
          </w:tcPr>
          <w:p>
            <w:pPr>
              <w:pStyle w:val="TableContents"/>
              <w:bidi w:val="0"/>
              <w:spacing w:before="0" w:after="283"/>
              <w:ind w:left="0" w:right="0" w:firstLine="360"/>
              <w:jc w:val="right"/>
              <w:rPr>
                <w:sz w:val="20"/>
              </w:rPr>
            </w:pPr>
            <w:r>
              <w:rPr>
                <w:sz w:val="20"/>
              </w:rPr>
              <w:t>13</w:t>
            </w:r>
          </w:p>
        </w:tc>
      </w:tr>
      <w:tr>
        <w:trPr/>
        <w:tc>
          <w:tcPr>
            <w:tcW w:w="535" w:type="dxa"/>
            <w:tcBorders/>
            <w:vAlign w:val="center"/>
          </w:tcPr>
          <w:p>
            <w:pPr>
              <w:pStyle w:val="TableContents"/>
              <w:bidi w:val="0"/>
              <w:spacing w:before="0" w:after="283"/>
              <w:jc w:val="left"/>
              <w:rPr>
                <w:sz w:val="20"/>
              </w:rPr>
            </w:pPr>
            <w:r>
              <w:rPr>
                <w:sz w:val="20"/>
              </w:rPr>
              <w:t>3.3</w:t>
            </w:r>
          </w:p>
        </w:tc>
        <w:tc>
          <w:tcPr>
            <w:tcW w:w="6969" w:type="dxa"/>
            <w:tcBorders/>
            <w:vAlign w:val="center"/>
          </w:tcPr>
          <w:p>
            <w:pPr>
              <w:pStyle w:val="TableContents"/>
              <w:bidi w:val="0"/>
              <w:spacing w:before="0" w:after="283"/>
              <w:jc w:val="left"/>
              <w:rPr>
                <w:sz w:val="20"/>
              </w:rPr>
            </w:pPr>
            <w:r>
              <w:rPr>
                <w:sz w:val="20"/>
              </w:rPr>
              <w:t>Authority; Execution and Delivery; Enforceability</w:t>
            </w:r>
          </w:p>
        </w:tc>
        <w:tc>
          <w:tcPr>
            <w:tcW w:w="605" w:type="dxa"/>
            <w:tcBorders/>
            <w:vAlign w:val="center"/>
          </w:tcPr>
          <w:p>
            <w:pPr>
              <w:pStyle w:val="TableContents"/>
              <w:bidi w:val="0"/>
              <w:spacing w:before="0" w:after="283"/>
              <w:ind w:left="0" w:right="0" w:firstLine="360"/>
              <w:jc w:val="right"/>
              <w:rPr>
                <w:sz w:val="20"/>
              </w:rPr>
            </w:pPr>
            <w:r>
              <w:rPr>
                <w:sz w:val="20"/>
              </w:rPr>
              <w:t>15</w:t>
            </w:r>
          </w:p>
        </w:tc>
      </w:tr>
      <w:tr>
        <w:trPr/>
        <w:tc>
          <w:tcPr>
            <w:tcW w:w="535" w:type="dxa"/>
            <w:tcBorders/>
            <w:vAlign w:val="center"/>
          </w:tcPr>
          <w:p>
            <w:pPr>
              <w:pStyle w:val="TableContents"/>
              <w:bidi w:val="0"/>
              <w:spacing w:before="0" w:after="283"/>
              <w:jc w:val="left"/>
              <w:rPr>
                <w:sz w:val="20"/>
              </w:rPr>
            </w:pPr>
            <w:r>
              <w:rPr>
                <w:sz w:val="20"/>
              </w:rPr>
              <w:t>3.4</w:t>
            </w:r>
          </w:p>
        </w:tc>
        <w:tc>
          <w:tcPr>
            <w:tcW w:w="6969" w:type="dxa"/>
            <w:tcBorders/>
            <w:vAlign w:val="center"/>
          </w:tcPr>
          <w:p>
            <w:pPr>
              <w:pStyle w:val="TableContents"/>
              <w:bidi w:val="0"/>
              <w:spacing w:before="0" w:after="283"/>
              <w:jc w:val="left"/>
              <w:rPr>
                <w:sz w:val="20"/>
              </w:rPr>
            </w:pPr>
            <w:r>
              <w:rPr>
                <w:sz w:val="20"/>
              </w:rPr>
              <w:t>No Conflicts; Governmental Consents</w:t>
            </w:r>
          </w:p>
        </w:tc>
        <w:tc>
          <w:tcPr>
            <w:tcW w:w="605" w:type="dxa"/>
            <w:tcBorders/>
            <w:vAlign w:val="center"/>
          </w:tcPr>
          <w:p>
            <w:pPr>
              <w:pStyle w:val="TableContents"/>
              <w:bidi w:val="0"/>
              <w:spacing w:before="0" w:after="283"/>
              <w:ind w:left="0" w:right="0" w:firstLine="360"/>
              <w:jc w:val="right"/>
              <w:rPr>
                <w:sz w:val="20"/>
              </w:rPr>
            </w:pPr>
            <w:r>
              <w:rPr>
                <w:sz w:val="20"/>
              </w:rPr>
              <w:t>16</w:t>
            </w:r>
          </w:p>
        </w:tc>
      </w:tr>
      <w:tr>
        <w:trPr/>
        <w:tc>
          <w:tcPr>
            <w:tcW w:w="535" w:type="dxa"/>
            <w:tcBorders/>
            <w:vAlign w:val="center"/>
          </w:tcPr>
          <w:p>
            <w:pPr>
              <w:pStyle w:val="TableContents"/>
              <w:bidi w:val="0"/>
              <w:spacing w:before="0" w:after="283"/>
              <w:jc w:val="left"/>
              <w:rPr>
                <w:sz w:val="20"/>
              </w:rPr>
            </w:pPr>
            <w:r>
              <w:rPr>
                <w:sz w:val="20"/>
              </w:rPr>
              <w:t>3.5</w:t>
            </w:r>
          </w:p>
        </w:tc>
        <w:tc>
          <w:tcPr>
            <w:tcW w:w="6969" w:type="dxa"/>
            <w:tcBorders/>
            <w:vAlign w:val="center"/>
          </w:tcPr>
          <w:p>
            <w:pPr>
              <w:pStyle w:val="TableContents"/>
              <w:bidi w:val="0"/>
              <w:spacing w:before="0" w:after="283"/>
              <w:jc w:val="left"/>
              <w:rPr>
                <w:sz w:val="20"/>
              </w:rPr>
            </w:pPr>
            <w:r>
              <w:rPr>
                <w:sz w:val="20"/>
              </w:rPr>
              <w:t>SEC Documents; Financial Statements; Undisclosed Liabilities</w:t>
            </w:r>
          </w:p>
        </w:tc>
        <w:tc>
          <w:tcPr>
            <w:tcW w:w="605" w:type="dxa"/>
            <w:tcBorders/>
            <w:vAlign w:val="center"/>
          </w:tcPr>
          <w:p>
            <w:pPr>
              <w:pStyle w:val="TableContents"/>
              <w:bidi w:val="0"/>
              <w:spacing w:before="0" w:after="283"/>
              <w:ind w:left="0" w:right="0" w:firstLine="360"/>
              <w:jc w:val="right"/>
              <w:rPr>
                <w:sz w:val="20"/>
              </w:rPr>
            </w:pPr>
            <w:r>
              <w:rPr>
                <w:sz w:val="20"/>
              </w:rPr>
              <w:t>17</w:t>
            </w:r>
          </w:p>
        </w:tc>
      </w:tr>
      <w:tr>
        <w:trPr/>
        <w:tc>
          <w:tcPr>
            <w:tcW w:w="535" w:type="dxa"/>
            <w:tcBorders/>
            <w:vAlign w:val="center"/>
          </w:tcPr>
          <w:p>
            <w:pPr>
              <w:pStyle w:val="TableContents"/>
              <w:bidi w:val="0"/>
              <w:spacing w:before="0" w:after="283"/>
              <w:jc w:val="left"/>
              <w:rPr>
                <w:sz w:val="20"/>
              </w:rPr>
            </w:pPr>
            <w:r>
              <w:rPr>
                <w:sz w:val="20"/>
              </w:rPr>
              <w:t>3.6</w:t>
            </w:r>
          </w:p>
        </w:tc>
        <w:tc>
          <w:tcPr>
            <w:tcW w:w="6969" w:type="dxa"/>
            <w:tcBorders/>
            <w:vAlign w:val="center"/>
          </w:tcPr>
          <w:p>
            <w:pPr>
              <w:pStyle w:val="TableContents"/>
              <w:bidi w:val="0"/>
              <w:spacing w:before="0" w:after="283"/>
              <w:jc w:val="left"/>
              <w:rPr>
                <w:sz w:val="20"/>
              </w:rPr>
            </w:pPr>
            <w:r>
              <w:rPr>
                <w:sz w:val="20"/>
              </w:rPr>
              <w:t>Absence of Certain Changes or Events</w:t>
            </w:r>
          </w:p>
        </w:tc>
        <w:tc>
          <w:tcPr>
            <w:tcW w:w="605" w:type="dxa"/>
            <w:tcBorders/>
            <w:vAlign w:val="center"/>
          </w:tcPr>
          <w:p>
            <w:pPr>
              <w:pStyle w:val="TableContents"/>
              <w:bidi w:val="0"/>
              <w:spacing w:before="0" w:after="283"/>
              <w:ind w:left="0" w:right="0" w:firstLine="360"/>
              <w:jc w:val="right"/>
              <w:rPr>
                <w:sz w:val="20"/>
              </w:rPr>
            </w:pPr>
            <w:r>
              <w:rPr>
                <w:sz w:val="20"/>
              </w:rPr>
              <w:t>18</w:t>
            </w:r>
          </w:p>
        </w:tc>
      </w:tr>
      <w:tr>
        <w:trPr/>
        <w:tc>
          <w:tcPr>
            <w:tcW w:w="535" w:type="dxa"/>
            <w:tcBorders/>
            <w:vAlign w:val="center"/>
          </w:tcPr>
          <w:p>
            <w:pPr>
              <w:pStyle w:val="TableContents"/>
              <w:bidi w:val="0"/>
              <w:spacing w:before="0" w:after="283"/>
              <w:jc w:val="left"/>
              <w:rPr>
                <w:sz w:val="20"/>
              </w:rPr>
            </w:pPr>
            <w:r>
              <w:rPr>
                <w:sz w:val="20"/>
              </w:rPr>
              <w:t>3.7</w:t>
            </w:r>
          </w:p>
        </w:tc>
        <w:tc>
          <w:tcPr>
            <w:tcW w:w="6969" w:type="dxa"/>
            <w:tcBorders/>
            <w:vAlign w:val="center"/>
          </w:tcPr>
          <w:p>
            <w:pPr>
              <w:pStyle w:val="TableContents"/>
              <w:bidi w:val="0"/>
              <w:spacing w:before="0" w:after="283"/>
              <w:jc w:val="left"/>
              <w:rPr>
                <w:sz w:val="20"/>
              </w:rPr>
            </w:pPr>
            <w:r>
              <w:rPr>
                <w:sz w:val="20"/>
              </w:rPr>
              <w:t>Proxy Statement</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3.8</w:t>
            </w:r>
          </w:p>
        </w:tc>
        <w:tc>
          <w:tcPr>
            <w:tcW w:w="6969" w:type="dxa"/>
            <w:tcBorders/>
            <w:vAlign w:val="center"/>
          </w:tcPr>
          <w:p>
            <w:pPr>
              <w:pStyle w:val="TableContents"/>
              <w:bidi w:val="0"/>
              <w:spacing w:before="0" w:after="283"/>
              <w:jc w:val="left"/>
              <w:rPr>
                <w:sz w:val="20"/>
              </w:rPr>
            </w:pPr>
            <w:r>
              <w:rPr>
                <w:sz w:val="20"/>
              </w:rPr>
              <w:t>Litigation; Orders</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3.9</w:t>
            </w:r>
          </w:p>
        </w:tc>
        <w:tc>
          <w:tcPr>
            <w:tcW w:w="6969" w:type="dxa"/>
            <w:tcBorders/>
            <w:vAlign w:val="center"/>
          </w:tcPr>
          <w:p>
            <w:pPr>
              <w:pStyle w:val="TableContents"/>
              <w:bidi w:val="0"/>
              <w:spacing w:before="0" w:after="283"/>
              <w:jc w:val="left"/>
              <w:rPr>
                <w:sz w:val="20"/>
              </w:rPr>
            </w:pPr>
            <w:r>
              <w:rPr>
                <w:sz w:val="20"/>
              </w:rPr>
              <w:t>Compliance with Laws; Permits</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3.10</w:t>
            </w:r>
          </w:p>
        </w:tc>
        <w:tc>
          <w:tcPr>
            <w:tcW w:w="6969" w:type="dxa"/>
            <w:tcBorders/>
            <w:vAlign w:val="center"/>
          </w:tcPr>
          <w:p>
            <w:pPr>
              <w:pStyle w:val="TableContents"/>
              <w:bidi w:val="0"/>
              <w:spacing w:before="0" w:after="283"/>
              <w:jc w:val="left"/>
              <w:rPr>
                <w:sz w:val="20"/>
              </w:rPr>
            </w:pPr>
            <w:r>
              <w:rPr>
                <w:sz w:val="20"/>
              </w:rPr>
              <w:t>Employee Benefit Plans</w:t>
            </w:r>
          </w:p>
        </w:tc>
        <w:tc>
          <w:tcPr>
            <w:tcW w:w="605" w:type="dxa"/>
            <w:tcBorders/>
            <w:vAlign w:val="center"/>
          </w:tcPr>
          <w:p>
            <w:pPr>
              <w:pStyle w:val="TableContents"/>
              <w:bidi w:val="0"/>
              <w:spacing w:before="0" w:after="283"/>
              <w:ind w:left="0" w:right="0" w:firstLine="360"/>
              <w:jc w:val="right"/>
              <w:rPr>
                <w:sz w:val="20"/>
              </w:rPr>
            </w:pPr>
            <w:r>
              <w:rPr>
                <w:sz w:val="20"/>
              </w:rPr>
              <w:t>20</w:t>
            </w:r>
          </w:p>
        </w:tc>
      </w:tr>
      <w:tr>
        <w:trPr/>
        <w:tc>
          <w:tcPr>
            <w:tcW w:w="535" w:type="dxa"/>
            <w:tcBorders/>
            <w:vAlign w:val="center"/>
          </w:tcPr>
          <w:p>
            <w:pPr>
              <w:pStyle w:val="TableContents"/>
              <w:bidi w:val="0"/>
              <w:spacing w:before="0" w:after="283"/>
              <w:jc w:val="left"/>
              <w:rPr>
                <w:sz w:val="20"/>
              </w:rPr>
            </w:pPr>
            <w:r>
              <w:rPr>
                <w:sz w:val="20"/>
              </w:rPr>
              <w:t>3.11</w:t>
            </w:r>
          </w:p>
        </w:tc>
        <w:tc>
          <w:tcPr>
            <w:tcW w:w="6969" w:type="dxa"/>
            <w:tcBorders/>
            <w:vAlign w:val="center"/>
          </w:tcPr>
          <w:p>
            <w:pPr>
              <w:pStyle w:val="TableContents"/>
              <w:bidi w:val="0"/>
              <w:spacing w:before="0" w:after="283"/>
              <w:jc w:val="left"/>
              <w:rPr>
                <w:sz w:val="20"/>
              </w:rPr>
            </w:pPr>
            <w:r>
              <w:rPr>
                <w:sz w:val="20"/>
              </w:rPr>
              <w:t>Labor Matters</w:t>
            </w:r>
          </w:p>
        </w:tc>
        <w:tc>
          <w:tcPr>
            <w:tcW w:w="605" w:type="dxa"/>
            <w:tcBorders/>
            <w:vAlign w:val="center"/>
          </w:tcPr>
          <w:p>
            <w:pPr>
              <w:pStyle w:val="TableContents"/>
              <w:bidi w:val="0"/>
              <w:spacing w:before="0" w:after="283"/>
              <w:ind w:left="0" w:right="0" w:firstLine="360"/>
              <w:jc w:val="right"/>
              <w:rPr>
                <w:sz w:val="20"/>
              </w:rPr>
            </w:pPr>
            <w:r>
              <w:rPr>
                <w:sz w:val="20"/>
              </w:rPr>
              <w:t>22</w:t>
            </w:r>
          </w:p>
        </w:tc>
      </w:tr>
      <w:tr>
        <w:trPr/>
        <w:tc>
          <w:tcPr>
            <w:tcW w:w="535" w:type="dxa"/>
            <w:tcBorders/>
            <w:vAlign w:val="center"/>
          </w:tcPr>
          <w:p>
            <w:pPr>
              <w:pStyle w:val="TableContents"/>
              <w:bidi w:val="0"/>
              <w:spacing w:before="0" w:after="283"/>
              <w:jc w:val="left"/>
              <w:rPr>
                <w:sz w:val="20"/>
              </w:rPr>
            </w:pPr>
            <w:r>
              <w:rPr>
                <w:sz w:val="20"/>
              </w:rPr>
              <w:t>3.12</w:t>
            </w:r>
          </w:p>
        </w:tc>
        <w:tc>
          <w:tcPr>
            <w:tcW w:w="6969" w:type="dxa"/>
            <w:tcBorders/>
            <w:vAlign w:val="center"/>
          </w:tcPr>
          <w:p>
            <w:pPr>
              <w:pStyle w:val="TableContents"/>
              <w:bidi w:val="0"/>
              <w:spacing w:before="0" w:after="283"/>
              <w:jc w:val="left"/>
              <w:rPr>
                <w:sz w:val="20"/>
              </w:rPr>
            </w:pPr>
            <w:r>
              <w:rPr>
                <w:sz w:val="20"/>
              </w:rPr>
              <w:t>Environmental Matters</w:t>
            </w:r>
          </w:p>
        </w:tc>
        <w:tc>
          <w:tcPr>
            <w:tcW w:w="605" w:type="dxa"/>
            <w:tcBorders/>
            <w:vAlign w:val="center"/>
          </w:tcPr>
          <w:p>
            <w:pPr>
              <w:pStyle w:val="TableContents"/>
              <w:bidi w:val="0"/>
              <w:spacing w:before="0" w:after="283"/>
              <w:ind w:left="0" w:right="0" w:firstLine="360"/>
              <w:jc w:val="right"/>
              <w:rPr>
                <w:sz w:val="20"/>
              </w:rPr>
            </w:pPr>
            <w:r>
              <w:rPr>
                <w:sz w:val="20"/>
              </w:rPr>
              <w:t>23</w:t>
            </w:r>
          </w:p>
        </w:tc>
      </w:tr>
      <w:tr>
        <w:trPr/>
        <w:tc>
          <w:tcPr>
            <w:tcW w:w="535" w:type="dxa"/>
            <w:tcBorders/>
            <w:vAlign w:val="center"/>
          </w:tcPr>
          <w:p>
            <w:pPr>
              <w:pStyle w:val="TableContents"/>
              <w:bidi w:val="0"/>
              <w:spacing w:before="0" w:after="283"/>
              <w:jc w:val="left"/>
              <w:rPr>
                <w:sz w:val="20"/>
              </w:rPr>
            </w:pPr>
            <w:r>
              <w:rPr>
                <w:sz w:val="20"/>
              </w:rPr>
              <w:t>3.13</w:t>
            </w:r>
          </w:p>
        </w:tc>
        <w:tc>
          <w:tcPr>
            <w:tcW w:w="6969" w:type="dxa"/>
            <w:tcBorders/>
            <w:vAlign w:val="center"/>
          </w:tcPr>
          <w:p>
            <w:pPr>
              <w:pStyle w:val="TableContents"/>
              <w:bidi w:val="0"/>
              <w:spacing w:before="0" w:after="283"/>
              <w:jc w:val="left"/>
              <w:rPr>
                <w:sz w:val="20"/>
              </w:rPr>
            </w:pPr>
            <w:r>
              <w:rPr>
                <w:sz w:val="20"/>
              </w:rPr>
              <w:t>Real Property; Title to Assets</w:t>
            </w:r>
          </w:p>
        </w:tc>
        <w:tc>
          <w:tcPr>
            <w:tcW w:w="605" w:type="dxa"/>
            <w:tcBorders/>
            <w:vAlign w:val="center"/>
          </w:tcPr>
          <w:p>
            <w:pPr>
              <w:pStyle w:val="TableContents"/>
              <w:bidi w:val="0"/>
              <w:spacing w:before="0" w:after="283"/>
              <w:ind w:left="0" w:right="0" w:firstLine="360"/>
              <w:jc w:val="right"/>
              <w:rPr>
                <w:sz w:val="20"/>
              </w:rPr>
            </w:pPr>
            <w:r>
              <w:rPr>
                <w:sz w:val="20"/>
              </w:rPr>
              <w:t>24</w:t>
            </w:r>
          </w:p>
        </w:tc>
      </w:tr>
      <w:tr>
        <w:trPr/>
        <w:tc>
          <w:tcPr>
            <w:tcW w:w="535" w:type="dxa"/>
            <w:tcBorders/>
            <w:vAlign w:val="center"/>
          </w:tcPr>
          <w:p>
            <w:pPr>
              <w:pStyle w:val="TableContents"/>
              <w:bidi w:val="0"/>
              <w:spacing w:before="0" w:after="283"/>
              <w:jc w:val="left"/>
              <w:rPr>
                <w:sz w:val="20"/>
              </w:rPr>
            </w:pPr>
            <w:r>
              <w:rPr>
                <w:sz w:val="20"/>
              </w:rPr>
              <w:t>3.14</w:t>
            </w:r>
          </w:p>
        </w:tc>
        <w:tc>
          <w:tcPr>
            <w:tcW w:w="6969" w:type="dxa"/>
            <w:tcBorders/>
            <w:vAlign w:val="center"/>
          </w:tcPr>
          <w:p>
            <w:pPr>
              <w:pStyle w:val="TableContents"/>
              <w:bidi w:val="0"/>
              <w:spacing w:before="0" w:after="283"/>
              <w:jc w:val="left"/>
              <w:rPr>
                <w:sz w:val="20"/>
              </w:rPr>
            </w:pPr>
            <w:r>
              <w:rPr>
                <w:sz w:val="20"/>
              </w:rPr>
              <w:t>Tax Matters</w:t>
            </w:r>
          </w:p>
        </w:tc>
        <w:tc>
          <w:tcPr>
            <w:tcW w:w="605" w:type="dxa"/>
            <w:tcBorders/>
            <w:vAlign w:val="center"/>
          </w:tcPr>
          <w:p>
            <w:pPr>
              <w:pStyle w:val="TableContents"/>
              <w:bidi w:val="0"/>
              <w:spacing w:before="0" w:after="283"/>
              <w:ind w:left="0" w:right="0" w:firstLine="360"/>
              <w:jc w:val="right"/>
              <w:rPr>
                <w:sz w:val="20"/>
              </w:rPr>
            </w:pPr>
            <w:r>
              <w:rPr>
                <w:sz w:val="20"/>
              </w:rPr>
              <w:t>28</w:t>
            </w:r>
          </w:p>
        </w:tc>
      </w:tr>
      <w:tr>
        <w:trPr/>
        <w:tc>
          <w:tcPr>
            <w:tcW w:w="535" w:type="dxa"/>
            <w:tcBorders/>
            <w:vAlign w:val="center"/>
          </w:tcPr>
          <w:p>
            <w:pPr>
              <w:pStyle w:val="TableContents"/>
              <w:bidi w:val="0"/>
              <w:spacing w:before="0" w:after="283"/>
              <w:jc w:val="left"/>
              <w:rPr>
                <w:sz w:val="20"/>
              </w:rPr>
            </w:pPr>
            <w:r>
              <w:rPr>
                <w:sz w:val="20"/>
              </w:rPr>
              <w:t>3.15</w:t>
            </w:r>
          </w:p>
        </w:tc>
        <w:tc>
          <w:tcPr>
            <w:tcW w:w="6969" w:type="dxa"/>
            <w:tcBorders/>
            <w:vAlign w:val="center"/>
          </w:tcPr>
          <w:p>
            <w:pPr>
              <w:pStyle w:val="TableContents"/>
              <w:bidi w:val="0"/>
              <w:spacing w:before="0" w:after="283"/>
              <w:jc w:val="left"/>
              <w:rPr>
                <w:sz w:val="20"/>
              </w:rPr>
            </w:pPr>
            <w:r>
              <w:rPr>
                <w:sz w:val="20"/>
              </w:rPr>
              <w:t>Material Contracts</w:t>
            </w:r>
          </w:p>
        </w:tc>
        <w:tc>
          <w:tcPr>
            <w:tcW w:w="605" w:type="dxa"/>
            <w:tcBorders/>
            <w:vAlign w:val="center"/>
          </w:tcPr>
          <w:p>
            <w:pPr>
              <w:pStyle w:val="TableContents"/>
              <w:bidi w:val="0"/>
              <w:spacing w:before="0" w:after="283"/>
              <w:ind w:left="0" w:right="0" w:firstLine="360"/>
              <w:jc w:val="right"/>
              <w:rPr>
                <w:sz w:val="20"/>
              </w:rPr>
            </w:pPr>
            <w:r>
              <w:rPr>
                <w:sz w:val="20"/>
              </w:rPr>
              <w:t>30</w:t>
            </w:r>
          </w:p>
        </w:tc>
      </w:tr>
      <w:tr>
        <w:trPr/>
        <w:tc>
          <w:tcPr>
            <w:tcW w:w="535" w:type="dxa"/>
            <w:tcBorders/>
            <w:vAlign w:val="center"/>
          </w:tcPr>
          <w:p>
            <w:pPr>
              <w:pStyle w:val="TableContents"/>
              <w:bidi w:val="0"/>
              <w:spacing w:before="0" w:after="283"/>
              <w:jc w:val="left"/>
              <w:rPr>
                <w:sz w:val="20"/>
              </w:rPr>
            </w:pPr>
            <w:r>
              <w:rPr>
                <w:sz w:val="20"/>
              </w:rPr>
              <w:t>3.16</w:t>
            </w:r>
          </w:p>
        </w:tc>
        <w:tc>
          <w:tcPr>
            <w:tcW w:w="6969" w:type="dxa"/>
            <w:tcBorders/>
            <w:vAlign w:val="center"/>
          </w:tcPr>
          <w:p>
            <w:pPr>
              <w:pStyle w:val="TableContents"/>
              <w:bidi w:val="0"/>
              <w:spacing w:before="0" w:after="283"/>
              <w:jc w:val="left"/>
              <w:rPr>
                <w:sz w:val="20"/>
              </w:rPr>
            </w:pPr>
            <w:r>
              <w:rPr>
                <w:sz w:val="20"/>
              </w:rPr>
              <w:t>Suppliers</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3.17</w:t>
            </w:r>
          </w:p>
        </w:tc>
        <w:tc>
          <w:tcPr>
            <w:tcW w:w="6969" w:type="dxa"/>
            <w:tcBorders/>
            <w:vAlign w:val="center"/>
          </w:tcPr>
          <w:p>
            <w:pPr>
              <w:pStyle w:val="TableContents"/>
              <w:bidi w:val="0"/>
              <w:spacing w:before="0" w:after="283"/>
              <w:jc w:val="left"/>
              <w:rPr>
                <w:sz w:val="20"/>
              </w:rPr>
            </w:pPr>
            <w:r>
              <w:rPr>
                <w:sz w:val="20"/>
              </w:rPr>
              <w:t>Insurance</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3.18</w:t>
            </w:r>
          </w:p>
        </w:tc>
        <w:tc>
          <w:tcPr>
            <w:tcW w:w="6969" w:type="dxa"/>
            <w:tcBorders/>
            <w:vAlign w:val="center"/>
          </w:tcPr>
          <w:p>
            <w:pPr>
              <w:pStyle w:val="TableContents"/>
              <w:bidi w:val="0"/>
              <w:spacing w:before="0" w:after="283"/>
              <w:jc w:val="left"/>
              <w:rPr>
                <w:sz w:val="20"/>
              </w:rPr>
            </w:pPr>
            <w:r>
              <w:rPr>
                <w:sz w:val="20"/>
              </w:rPr>
              <w:t>Intellectual Property</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3.19</w:t>
            </w:r>
          </w:p>
        </w:tc>
        <w:tc>
          <w:tcPr>
            <w:tcW w:w="6969" w:type="dxa"/>
            <w:tcBorders/>
            <w:vAlign w:val="center"/>
          </w:tcPr>
          <w:p>
            <w:pPr>
              <w:pStyle w:val="TableContents"/>
              <w:bidi w:val="0"/>
              <w:spacing w:before="0" w:after="283"/>
              <w:jc w:val="left"/>
              <w:rPr>
                <w:sz w:val="20"/>
              </w:rPr>
            </w:pPr>
            <w:r>
              <w:rPr>
                <w:sz w:val="20"/>
              </w:rPr>
              <w:t>Privacy and Data Protection</w:t>
            </w:r>
          </w:p>
        </w:tc>
        <w:tc>
          <w:tcPr>
            <w:tcW w:w="605" w:type="dxa"/>
            <w:tcBorders/>
            <w:vAlign w:val="center"/>
          </w:tcPr>
          <w:p>
            <w:pPr>
              <w:pStyle w:val="TableContents"/>
              <w:bidi w:val="0"/>
              <w:spacing w:before="0" w:after="283"/>
              <w:ind w:left="0" w:right="0" w:firstLine="360"/>
              <w:jc w:val="right"/>
              <w:rPr>
                <w:sz w:val="20"/>
              </w:rPr>
            </w:pPr>
            <w:r>
              <w:rPr>
                <w:sz w:val="20"/>
              </w:rPr>
              <w:t>35</w:t>
            </w:r>
          </w:p>
        </w:tc>
      </w:tr>
      <w:tr>
        <w:trPr/>
        <w:tc>
          <w:tcPr>
            <w:tcW w:w="535" w:type="dxa"/>
            <w:tcBorders/>
            <w:vAlign w:val="center"/>
          </w:tcPr>
          <w:p>
            <w:pPr>
              <w:pStyle w:val="TableContents"/>
              <w:bidi w:val="0"/>
              <w:spacing w:before="0" w:after="283"/>
              <w:jc w:val="left"/>
              <w:rPr>
                <w:sz w:val="20"/>
              </w:rPr>
            </w:pPr>
            <w:r>
              <w:rPr>
                <w:sz w:val="20"/>
              </w:rPr>
              <w:t>3.20</w:t>
            </w:r>
          </w:p>
        </w:tc>
        <w:tc>
          <w:tcPr>
            <w:tcW w:w="6969" w:type="dxa"/>
            <w:tcBorders/>
            <w:vAlign w:val="center"/>
          </w:tcPr>
          <w:p>
            <w:pPr>
              <w:pStyle w:val="TableContents"/>
              <w:bidi w:val="0"/>
              <w:spacing w:before="0" w:after="283"/>
              <w:jc w:val="left"/>
              <w:rPr>
                <w:sz w:val="20"/>
              </w:rPr>
            </w:pPr>
            <w:r>
              <w:rPr>
                <w:sz w:val="20"/>
              </w:rPr>
              <w:t>Affiliate Transactions</w:t>
            </w:r>
          </w:p>
        </w:tc>
        <w:tc>
          <w:tcPr>
            <w:tcW w:w="605" w:type="dxa"/>
            <w:tcBorders/>
            <w:vAlign w:val="center"/>
          </w:tcPr>
          <w:p>
            <w:pPr>
              <w:pStyle w:val="TableContents"/>
              <w:bidi w:val="0"/>
              <w:spacing w:before="0" w:after="283"/>
              <w:ind w:left="0" w:right="0" w:firstLine="360"/>
              <w:jc w:val="right"/>
              <w:rPr>
                <w:sz w:val="20"/>
              </w:rPr>
            </w:pPr>
            <w:r>
              <w:rPr>
                <w:sz w:val="20"/>
              </w:rPr>
              <w:t>36</w:t>
            </w:r>
          </w:p>
        </w:tc>
      </w:tr>
      <w:tr>
        <w:trPr/>
        <w:tc>
          <w:tcPr>
            <w:tcW w:w="535" w:type="dxa"/>
            <w:tcBorders/>
            <w:vAlign w:val="center"/>
          </w:tcPr>
          <w:p>
            <w:pPr>
              <w:pStyle w:val="TableContents"/>
              <w:bidi w:val="0"/>
              <w:spacing w:before="0" w:after="283"/>
              <w:jc w:val="left"/>
              <w:rPr>
                <w:sz w:val="20"/>
              </w:rPr>
            </w:pPr>
            <w:r>
              <w:rPr>
                <w:sz w:val="20"/>
              </w:rPr>
              <w:t>3.21</w:t>
            </w:r>
          </w:p>
        </w:tc>
        <w:tc>
          <w:tcPr>
            <w:tcW w:w="6969" w:type="dxa"/>
            <w:tcBorders/>
            <w:vAlign w:val="center"/>
          </w:tcPr>
          <w:p>
            <w:pPr>
              <w:pStyle w:val="TableContents"/>
              <w:bidi w:val="0"/>
              <w:spacing w:before="0" w:after="283"/>
              <w:jc w:val="left"/>
              <w:rPr>
                <w:sz w:val="20"/>
              </w:rPr>
            </w:pPr>
            <w:r>
              <w:rPr>
                <w:sz w:val="20"/>
              </w:rPr>
              <w:t>Brokers</w:t>
            </w:r>
          </w:p>
        </w:tc>
        <w:tc>
          <w:tcPr>
            <w:tcW w:w="605" w:type="dxa"/>
            <w:tcBorders/>
            <w:vAlign w:val="center"/>
          </w:tcPr>
          <w:p>
            <w:pPr>
              <w:pStyle w:val="TableContents"/>
              <w:bidi w:val="0"/>
              <w:spacing w:before="0" w:after="283"/>
              <w:ind w:left="0" w:right="0" w:firstLine="360"/>
              <w:jc w:val="right"/>
              <w:rPr>
                <w:sz w:val="20"/>
              </w:rPr>
            </w:pPr>
            <w:r>
              <w:rPr>
                <w:sz w:val="20"/>
              </w:rPr>
              <w:t>37</w:t>
            </w:r>
          </w:p>
        </w:tc>
      </w:tr>
      <w:tr>
        <w:trPr/>
        <w:tc>
          <w:tcPr>
            <w:tcW w:w="535" w:type="dxa"/>
            <w:tcBorders/>
            <w:vAlign w:val="center"/>
          </w:tcPr>
          <w:p>
            <w:pPr>
              <w:pStyle w:val="TableContents"/>
              <w:bidi w:val="0"/>
              <w:spacing w:before="0" w:after="283"/>
              <w:jc w:val="left"/>
              <w:rPr>
                <w:sz w:val="20"/>
              </w:rPr>
            </w:pPr>
            <w:r>
              <w:rPr>
                <w:sz w:val="20"/>
              </w:rPr>
              <w:t>3.22</w:t>
            </w:r>
          </w:p>
        </w:tc>
        <w:tc>
          <w:tcPr>
            <w:tcW w:w="6969" w:type="dxa"/>
            <w:tcBorders/>
            <w:vAlign w:val="center"/>
          </w:tcPr>
          <w:p>
            <w:pPr>
              <w:pStyle w:val="TableContents"/>
              <w:bidi w:val="0"/>
              <w:spacing w:before="0" w:after="283"/>
              <w:jc w:val="left"/>
              <w:rPr>
                <w:sz w:val="20"/>
              </w:rPr>
            </w:pPr>
            <w:r>
              <w:rPr>
                <w:sz w:val="20"/>
              </w:rPr>
              <w:t>Insurance Business</w:t>
            </w:r>
          </w:p>
        </w:tc>
        <w:tc>
          <w:tcPr>
            <w:tcW w:w="605" w:type="dxa"/>
            <w:tcBorders/>
            <w:vAlign w:val="center"/>
          </w:tcPr>
          <w:p>
            <w:pPr>
              <w:pStyle w:val="TableContents"/>
              <w:bidi w:val="0"/>
              <w:spacing w:before="0" w:after="283"/>
              <w:ind w:left="0" w:right="0" w:firstLine="360"/>
              <w:jc w:val="right"/>
              <w:rPr>
                <w:sz w:val="20"/>
              </w:rPr>
            </w:pPr>
            <w:r>
              <w:rPr>
                <w:sz w:val="20"/>
              </w:rPr>
              <w:t>37</w:t>
            </w:r>
          </w:p>
        </w:tc>
      </w:tr>
      <w:tr>
        <w:trPr/>
        <w:tc>
          <w:tcPr>
            <w:tcW w:w="535" w:type="dxa"/>
            <w:tcBorders/>
            <w:vAlign w:val="center"/>
          </w:tcPr>
          <w:p>
            <w:pPr>
              <w:pStyle w:val="TableContents"/>
              <w:bidi w:val="0"/>
              <w:spacing w:before="0" w:after="283"/>
              <w:jc w:val="left"/>
              <w:rPr>
                <w:sz w:val="20"/>
              </w:rPr>
            </w:pPr>
            <w:r>
              <w:rPr>
                <w:sz w:val="20"/>
              </w:rPr>
              <w:t>3.23</w:t>
            </w:r>
          </w:p>
        </w:tc>
        <w:tc>
          <w:tcPr>
            <w:tcW w:w="6969" w:type="dxa"/>
            <w:tcBorders/>
            <w:vAlign w:val="center"/>
          </w:tcPr>
          <w:p>
            <w:pPr>
              <w:pStyle w:val="TableContents"/>
              <w:bidi w:val="0"/>
              <w:spacing w:before="0" w:after="283"/>
              <w:jc w:val="left"/>
              <w:rPr>
                <w:sz w:val="20"/>
              </w:rPr>
            </w:pPr>
            <w:r>
              <w:rPr>
                <w:sz w:val="20"/>
              </w:rPr>
              <w:t>Construction Matters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sz w:val="20"/>
              </w:rPr>
            </w:pPr>
            <w:r>
              <w:rPr>
                <w:sz w:val="20"/>
              </w:rPr>
              <w:t>3.24</w:t>
            </w:r>
          </w:p>
        </w:tc>
        <w:tc>
          <w:tcPr>
            <w:tcW w:w="6969" w:type="dxa"/>
            <w:tcBorders/>
            <w:vAlign w:val="center"/>
          </w:tcPr>
          <w:p>
            <w:pPr>
              <w:pStyle w:val="TableContents"/>
              <w:bidi w:val="0"/>
              <w:spacing w:before="0" w:after="283"/>
              <w:jc w:val="left"/>
              <w:rPr>
                <w:sz w:val="20"/>
              </w:rPr>
            </w:pPr>
            <w:r>
              <w:rPr>
                <w:sz w:val="20"/>
              </w:rPr>
              <w:t>Opinion of Financial Advisors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sz w:val="20"/>
              </w:rPr>
            </w:pPr>
            <w:r>
              <w:rPr>
                <w:sz w:val="20"/>
              </w:rPr>
              <w:t>3.25</w:t>
            </w:r>
          </w:p>
        </w:tc>
        <w:tc>
          <w:tcPr>
            <w:tcW w:w="6969" w:type="dxa"/>
            <w:tcBorders/>
            <w:vAlign w:val="center"/>
          </w:tcPr>
          <w:p>
            <w:pPr>
              <w:pStyle w:val="TableContents"/>
              <w:bidi w:val="0"/>
              <w:spacing w:before="0" w:after="283"/>
              <w:jc w:val="left"/>
              <w:rPr>
                <w:sz w:val="20"/>
              </w:rPr>
            </w:pPr>
            <w:r>
              <w:rPr>
                <w:sz w:val="20"/>
              </w:rPr>
              <w:t>No Other Representations or Warranties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IV Representations and Warranties of Parent and Merger Sub</w:t>
            </w:r>
          </w:p>
        </w:tc>
        <w:tc>
          <w:tcPr>
            <w:tcW w:w="605" w:type="dxa"/>
            <w:tcBorders/>
            <w:vAlign w:val="center"/>
          </w:tcPr>
          <w:p>
            <w:pPr>
              <w:pStyle w:val="TableContents"/>
              <w:bidi w:val="0"/>
              <w:spacing w:before="0" w:after="283"/>
              <w:jc w:val="right"/>
              <w:rPr>
                <w:sz w:val="20"/>
              </w:rPr>
            </w:pPr>
            <w:r>
              <w:rPr>
                <w:sz w:val="20"/>
              </w:rPr>
              <w:t>39</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4.1</w:t>
            </w:r>
          </w:p>
        </w:tc>
        <w:tc>
          <w:tcPr>
            <w:tcW w:w="6969" w:type="dxa"/>
            <w:tcBorders/>
            <w:vAlign w:val="center"/>
          </w:tcPr>
          <w:p>
            <w:pPr>
              <w:pStyle w:val="TableContents"/>
              <w:bidi w:val="0"/>
              <w:spacing w:before="0" w:after="283"/>
              <w:jc w:val="left"/>
              <w:rPr>
                <w:sz w:val="20"/>
              </w:rPr>
            </w:pPr>
            <w:r>
              <w:rPr>
                <w:sz w:val="20"/>
              </w:rPr>
              <w:t>Corporate Organization</w:t>
            </w:r>
          </w:p>
        </w:tc>
        <w:tc>
          <w:tcPr>
            <w:tcW w:w="605" w:type="dxa"/>
            <w:tcBorders/>
            <w:vAlign w:val="center"/>
          </w:tcPr>
          <w:p>
            <w:pPr>
              <w:pStyle w:val="TableContents"/>
              <w:bidi w:val="0"/>
              <w:spacing w:before="0" w:after="283"/>
              <w:jc w:val="right"/>
              <w:rPr>
                <w:sz w:val="20"/>
              </w:rPr>
            </w:pPr>
            <w:r>
              <w:rPr>
                <w:sz w:val="20"/>
              </w:rPr>
              <w:t>39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80" w:type="dxa"/>
        <w:jc w:val="left"/>
        <w:tblInd w:w="0" w:type="dxa"/>
        <w:tblLayout w:type="fixed"/>
        <w:tblCellMar>
          <w:top w:w="0" w:type="dxa"/>
          <w:left w:w="0" w:type="dxa"/>
          <w:bottom w:w="0" w:type="dxa"/>
          <w:right w:w="0" w:type="dxa"/>
        </w:tblCellMar>
      </w:tblPr>
      <w:tblGrid>
        <w:gridCol w:w="650"/>
        <w:gridCol w:w="6125"/>
        <w:gridCol w:w="605"/>
      </w:tblGrid>
      <w:tr>
        <w:trPr/>
        <w:tc>
          <w:tcPr>
            <w:tcW w:w="650" w:type="dxa"/>
            <w:tcBorders/>
            <w:vAlign w:val="center"/>
          </w:tcPr>
          <w:p>
            <w:pPr>
              <w:pStyle w:val="TableContents"/>
              <w:bidi w:val="0"/>
              <w:spacing w:before="0" w:after="283"/>
              <w:ind w:left="0" w:right="0" w:firstLine="360"/>
              <w:jc w:val="left"/>
              <w:rPr>
                <w:sz w:val="20"/>
              </w:rPr>
            </w:pPr>
            <w:r>
              <w:rPr>
                <w:sz w:val="20"/>
              </w:rPr>
              <w:t>4.2</w:t>
            </w:r>
          </w:p>
        </w:tc>
        <w:tc>
          <w:tcPr>
            <w:tcW w:w="6125" w:type="dxa"/>
            <w:tcBorders/>
            <w:vAlign w:val="center"/>
          </w:tcPr>
          <w:p>
            <w:pPr>
              <w:pStyle w:val="TableContents"/>
              <w:bidi w:val="0"/>
              <w:spacing w:before="0" w:after="283"/>
              <w:jc w:val="left"/>
              <w:rPr>
                <w:sz w:val="20"/>
              </w:rPr>
            </w:pPr>
            <w:r>
              <w:rPr>
                <w:sz w:val="20"/>
              </w:rPr>
              <w:t>Authority, Execution and Delivery; Enforceability</w:t>
            </w:r>
          </w:p>
        </w:tc>
        <w:tc>
          <w:tcPr>
            <w:tcW w:w="605" w:type="dxa"/>
            <w:tcBorders/>
            <w:vAlign w:val="center"/>
          </w:tcPr>
          <w:p>
            <w:pPr>
              <w:pStyle w:val="TableContents"/>
              <w:bidi w:val="0"/>
              <w:spacing w:before="0" w:after="283"/>
              <w:ind w:left="0" w:right="0" w:firstLine="360"/>
              <w:jc w:val="right"/>
              <w:rPr>
                <w:sz w:val="20"/>
              </w:rPr>
            </w:pPr>
            <w:r>
              <w:rPr>
                <w:sz w:val="20"/>
              </w:rPr>
              <w:t>39</w:t>
            </w:r>
          </w:p>
        </w:tc>
      </w:tr>
      <w:tr>
        <w:trPr/>
        <w:tc>
          <w:tcPr>
            <w:tcW w:w="650" w:type="dxa"/>
            <w:tcBorders/>
            <w:vAlign w:val="center"/>
          </w:tcPr>
          <w:p>
            <w:pPr>
              <w:pStyle w:val="TableContents"/>
              <w:bidi w:val="0"/>
              <w:spacing w:before="0" w:after="283"/>
              <w:jc w:val="left"/>
              <w:rPr>
                <w:sz w:val="20"/>
              </w:rPr>
            </w:pPr>
            <w:r>
              <w:rPr>
                <w:sz w:val="20"/>
              </w:rPr>
              <w:t>4.3</w:t>
            </w:r>
          </w:p>
        </w:tc>
        <w:tc>
          <w:tcPr>
            <w:tcW w:w="6125" w:type="dxa"/>
            <w:tcBorders/>
            <w:vAlign w:val="center"/>
          </w:tcPr>
          <w:p>
            <w:pPr>
              <w:pStyle w:val="TableContents"/>
              <w:bidi w:val="0"/>
              <w:spacing w:before="0" w:after="283"/>
              <w:jc w:val="left"/>
              <w:rPr>
                <w:sz w:val="20"/>
              </w:rPr>
            </w:pPr>
            <w:r>
              <w:rPr>
                <w:sz w:val="20"/>
              </w:rPr>
              <w:t>No Conflicts</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4.4</w:t>
            </w:r>
          </w:p>
        </w:tc>
        <w:tc>
          <w:tcPr>
            <w:tcW w:w="6125"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4.5</w:t>
            </w:r>
          </w:p>
        </w:tc>
        <w:tc>
          <w:tcPr>
            <w:tcW w:w="6125" w:type="dxa"/>
            <w:tcBorders/>
            <w:vAlign w:val="center"/>
          </w:tcPr>
          <w:p>
            <w:pPr>
              <w:pStyle w:val="TableContents"/>
              <w:bidi w:val="0"/>
              <w:spacing w:before="0" w:after="283"/>
              <w:jc w:val="left"/>
              <w:rPr>
                <w:sz w:val="20"/>
              </w:rPr>
            </w:pPr>
            <w:r>
              <w:rPr>
                <w:sz w:val="20"/>
              </w:rPr>
              <w:t>Litigation; Orders</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4.6</w:t>
            </w:r>
          </w:p>
        </w:tc>
        <w:tc>
          <w:tcPr>
            <w:tcW w:w="6125" w:type="dxa"/>
            <w:tcBorders/>
            <w:vAlign w:val="center"/>
          </w:tcPr>
          <w:p>
            <w:pPr>
              <w:pStyle w:val="TableContents"/>
              <w:bidi w:val="0"/>
              <w:spacing w:before="0" w:after="283"/>
              <w:jc w:val="left"/>
              <w:rPr>
                <w:sz w:val="20"/>
              </w:rPr>
            </w:pPr>
            <w:r>
              <w:rPr>
                <w:sz w:val="20"/>
              </w:rPr>
              <w:t>Financing</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4.7</w:t>
            </w:r>
          </w:p>
        </w:tc>
        <w:tc>
          <w:tcPr>
            <w:tcW w:w="6125" w:type="dxa"/>
            <w:tcBorders/>
            <w:vAlign w:val="center"/>
          </w:tcPr>
          <w:p>
            <w:pPr>
              <w:pStyle w:val="TableContents"/>
              <w:bidi w:val="0"/>
              <w:spacing w:before="0" w:after="283"/>
              <w:jc w:val="left"/>
              <w:rPr>
                <w:sz w:val="20"/>
              </w:rPr>
            </w:pPr>
            <w:r>
              <w:rPr>
                <w:sz w:val="20"/>
              </w:rPr>
              <w:t>Proxy Statement</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4.8</w:t>
            </w:r>
          </w:p>
        </w:tc>
        <w:tc>
          <w:tcPr>
            <w:tcW w:w="6125" w:type="dxa"/>
            <w:tcBorders/>
            <w:vAlign w:val="center"/>
          </w:tcPr>
          <w:p>
            <w:pPr>
              <w:pStyle w:val="TableContents"/>
              <w:bidi w:val="0"/>
              <w:spacing w:before="0" w:after="283"/>
              <w:jc w:val="left"/>
              <w:rPr>
                <w:sz w:val="20"/>
              </w:rPr>
            </w:pPr>
            <w:r>
              <w:rPr>
                <w:sz w:val="20"/>
              </w:rPr>
              <w:t>Ownership of Merger Sub</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4.9</w:t>
            </w:r>
          </w:p>
        </w:tc>
        <w:tc>
          <w:tcPr>
            <w:tcW w:w="6125" w:type="dxa"/>
            <w:tcBorders/>
            <w:vAlign w:val="center"/>
          </w:tcPr>
          <w:p>
            <w:pPr>
              <w:pStyle w:val="TableContents"/>
              <w:bidi w:val="0"/>
              <w:spacing w:before="0" w:after="283"/>
              <w:jc w:val="left"/>
              <w:rPr>
                <w:sz w:val="20"/>
              </w:rPr>
            </w:pPr>
            <w:r>
              <w:rPr>
                <w:sz w:val="20"/>
              </w:rPr>
              <w:t>Brokers</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4.10</w:t>
            </w:r>
          </w:p>
        </w:tc>
        <w:tc>
          <w:tcPr>
            <w:tcW w:w="6125" w:type="dxa"/>
            <w:tcBorders/>
            <w:vAlign w:val="center"/>
          </w:tcPr>
          <w:p>
            <w:pPr>
              <w:pStyle w:val="TableContents"/>
              <w:bidi w:val="0"/>
              <w:spacing w:before="0" w:after="283"/>
              <w:jc w:val="left"/>
              <w:rPr>
                <w:sz w:val="20"/>
              </w:rPr>
            </w:pPr>
            <w:r>
              <w:rPr>
                <w:sz w:val="20"/>
              </w:rPr>
              <w:t>Stock Ownership</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4.11</w:t>
            </w:r>
          </w:p>
        </w:tc>
        <w:tc>
          <w:tcPr>
            <w:tcW w:w="6125" w:type="dxa"/>
            <w:tcBorders/>
            <w:vAlign w:val="center"/>
          </w:tcPr>
          <w:p>
            <w:pPr>
              <w:pStyle w:val="TableContents"/>
              <w:bidi w:val="0"/>
              <w:spacing w:before="0" w:after="283"/>
              <w:jc w:val="left"/>
              <w:rPr>
                <w:sz w:val="20"/>
              </w:rPr>
            </w:pPr>
            <w:r>
              <w:rPr>
                <w:sz w:val="20"/>
              </w:rPr>
              <w:t>Solvency</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sz w:val="20"/>
              </w:rPr>
            </w:pPr>
            <w:r>
              <w:rPr>
                <w:sz w:val="20"/>
              </w:rPr>
              <w:t>4.12</w:t>
            </w:r>
          </w:p>
        </w:tc>
        <w:tc>
          <w:tcPr>
            <w:tcW w:w="6125" w:type="dxa"/>
            <w:tcBorders/>
            <w:vAlign w:val="center"/>
          </w:tcPr>
          <w:p>
            <w:pPr>
              <w:pStyle w:val="TableContents"/>
              <w:bidi w:val="0"/>
              <w:spacing w:before="0" w:after="283"/>
              <w:jc w:val="left"/>
              <w:rPr>
                <w:sz w:val="20"/>
              </w:rPr>
            </w:pPr>
            <w:r>
              <w:rPr>
                <w:sz w:val="20"/>
              </w:rPr>
              <w:t>Certain Arrangements</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sz w:val="20"/>
              </w:rPr>
            </w:pPr>
            <w:r>
              <w:rPr>
                <w:sz w:val="20"/>
              </w:rPr>
              <w:t>4.13</w:t>
            </w:r>
          </w:p>
        </w:tc>
        <w:tc>
          <w:tcPr>
            <w:tcW w:w="6125" w:type="dxa"/>
            <w:tcBorders/>
            <w:vAlign w:val="center"/>
          </w:tcPr>
          <w:p>
            <w:pPr>
              <w:pStyle w:val="TableContents"/>
              <w:bidi w:val="0"/>
              <w:spacing w:before="0" w:after="283"/>
              <w:jc w:val="left"/>
              <w:rPr>
                <w:sz w:val="20"/>
              </w:rPr>
            </w:pPr>
            <w:r>
              <w:rPr>
                <w:sz w:val="20"/>
              </w:rPr>
              <w:t>No Other Representations and Warranties</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 Covenants</w:t>
            </w:r>
          </w:p>
        </w:tc>
        <w:tc>
          <w:tcPr>
            <w:tcW w:w="605" w:type="dxa"/>
            <w:tcBorders/>
            <w:vAlign w:val="center"/>
          </w:tcPr>
          <w:p>
            <w:pPr>
              <w:pStyle w:val="TableContents"/>
              <w:bidi w:val="0"/>
              <w:spacing w:before="0" w:after="283"/>
              <w:jc w:val="right"/>
              <w:rPr>
                <w:sz w:val="20"/>
              </w:rPr>
            </w:pPr>
            <w:r>
              <w:rPr>
                <w:sz w:val="20"/>
              </w:rPr>
              <w:t>44</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5.1</w:t>
            </w:r>
          </w:p>
        </w:tc>
        <w:tc>
          <w:tcPr>
            <w:tcW w:w="6125" w:type="dxa"/>
            <w:tcBorders/>
            <w:vAlign w:val="center"/>
          </w:tcPr>
          <w:p>
            <w:pPr>
              <w:pStyle w:val="TableContents"/>
              <w:bidi w:val="0"/>
              <w:spacing w:before="0" w:after="283"/>
              <w:jc w:val="left"/>
              <w:rPr>
                <w:sz w:val="20"/>
              </w:rPr>
            </w:pPr>
            <w:r>
              <w:rPr>
                <w:sz w:val="20"/>
              </w:rPr>
              <w:t>Conduct of Business by the Company Pending the Closing</w:t>
            </w:r>
          </w:p>
        </w:tc>
        <w:tc>
          <w:tcPr>
            <w:tcW w:w="605" w:type="dxa"/>
            <w:tcBorders/>
            <w:vAlign w:val="center"/>
          </w:tcPr>
          <w:p>
            <w:pPr>
              <w:pStyle w:val="TableContents"/>
              <w:bidi w:val="0"/>
              <w:spacing w:before="0" w:after="283"/>
              <w:ind w:left="0" w:right="0" w:firstLine="360"/>
              <w:jc w:val="right"/>
              <w:rPr>
                <w:sz w:val="20"/>
              </w:rPr>
            </w:pPr>
            <w:r>
              <w:rPr>
                <w:sz w:val="20"/>
              </w:rPr>
              <w:t>44</w:t>
            </w:r>
          </w:p>
        </w:tc>
      </w:tr>
      <w:tr>
        <w:trPr/>
        <w:tc>
          <w:tcPr>
            <w:tcW w:w="650" w:type="dxa"/>
            <w:tcBorders/>
            <w:vAlign w:val="center"/>
          </w:tcPr>
          <w:p>
            <w:pPr>
              <w:pStyle w:val="TableContents"/>
              <w:bidi w:val="0"/>
              <w:spacing w:before="0" w:after="283"/>
              <w:jc w:val="left"/>
              <w:rPr>
                <w:sz w:val="20"/>
              </w:rPr>
            </w:pPr>
            <w:r>
              <w:rPr>
                <w:sz w:val="20"/>
              </w:rPr>
              <w:t>5.2</w:t>
            </w:r>
          </w:p>
        </w:tc>
        <w:tc>
          <w:tcPr>
            <w:tcW w:w="6125" w:type="dxa"/>
            <w:tcBorders/>
            <w:vAlign w:val="center"/>
          </w:tcPr>
          <w:p>
            <w:pPr>
              <w:pStyle w:val="TableContents"/>
              <w:bidi w:val="0"/>
              <w:spacing w:before="0" w:after="283"/>
              <w:jc w:val="left"/>
              <w:rPr>
                <w:sz w:val="20"/>
              </w:rPr>
            </w:pPr>
            <w:r>
              <w:rPr>
                <w:sz w:val="20"/>
              </w:rPr>
              <w:t>Access to Information, Employees and Facilities; Confidentiality</w:t>
            </w:r>
          </w:p>
        </w:tc>
        <w:tc>
          <w:tcPr>
            <w:tcW w:w="605" w:type="dxa"/>
            <w:tcBorders/>
            <w:vAlign w:val="center"/>
          </w:tcPr>
          <w:p>
            <w:pPr>
              <w:pStyle w:val="TableContents"/>
              <w:bidi w:val="0"/>
              <w:spacing w:before="0" w:after="283"/>
              <w:ind w:left="0" w:right="0" w:firstLine="360"/>
              <w:jc w:val="right"/>
              <w:rPr>
                <w:sz w:val="20"/>
              </w:rPr>
            </w:pPr>
            <w:r>
              <w:rPr>
                <w:sz w:val="20"/>
              </w:rPr>
              <w:t>49</w:t>
            </w:r>
          </w:p>
        </w:tc>
      </w:tr>
      <w:tr>
        <w:trPr/>
        <w:tc>
          <w:tcPr>
            <w:tcW w:w="650" w:type="dxa"/>
            <w:tcBorders/>
            <w:vAlign w:val="center"/>
          </w:tcPr>
          <w:p>
            <w:pPr>
              <w:pStyle w:val="TableContents"/>
              <w:bidi w:val="0"/>
              <w:spacing w:before="0" w:after="283"/>
              <w:jc w:val="left"/>
              <w:rPr>
                <w:sz w:val="20"/>
              </w:rPr>
            </w:pPr>
            <w:r>
              <w:rPr>
                <w:sz w:val="20"/>
              </w:rPr>
              <w:t>5.3</w:t>
            </w:r>
          </w:p>
        </w:tc>
        <w:tc>
          <w:tcPr>
            <w:tcW w:w="6125" w:type="dxa"/>
            <w:tcBorders/>
            <w:vAlign w:val="center"/>
          </w:tcPr>
          <w:p>
            <w:pPr>
              <w:pStyle w:val="TableContents"/>
              <w:bidi w:val="0"/>
              <w:spacing w:before="0" w:after="283"/>
              <w:jc w:val="left"/>
              <w:rPr>
                <w:sz w:val="20"/>
              </w:rPr>
            </w:pPr>
            <w:r>
              <w:rPr>
                <w:sz w:val="20"/>
              </w:rPr>
              <w:t>No Solicitation</w:t>
            </w:r>
          </w:p>
        </w:tc>
        <w:tc>
          <w:tcPr>
            <w:tcW w:w="605" w:type="dxa"/>
            <w:tcBorders/>
            <w:vAlign w:val="center"/>
          </w:tcPr>
          <w:p>
            <w:pPr>
              <w:pStyle w:val="TableContents"/>
              <w:bidi w:val="0"/>
              <w:spacing w:before="0" w:after="283"/>
              <w:ind w:left="0" w:right="0" w:firstLine="360"/>
              <w:jc w:val="right"/>
              <w:rPr>
                <w:sz w:val="20"/>
              </w:rPr>
            </w:pPr>
            <w:r>
              <w:rPr>
                <w:sz w:val="20"/>
              </w:rPr>
              <w:t>50</w:t>
            </w:r>
          </w:p>
        </w:tc>
      </w:tr>
      <w:tr>
        <w:trPr/>
        <w:tc>
          <w:tcPr>
            <w:tcW w:w="650" w:type="dxa"/>
            <w:tcBorders/>
            <w:vAlign w:val="center"/>
          </w:tcPr>
          <w:p>
            <w:pPr>
              <w:pStyle w:val="TableContents"/>
              <w:bidi w:val="0"/>
              <w:spacing w:before="0" w:after="283"/>
              <w:jc w:val="left"/>
              <w:rPr>
                <w:sz w:val="20"/>
              </w:rPr>
            </w:pPr>
            <w:r>
              <w:rPr>
                <w:sz w:val="20"/>
              </w:rPr>
              <w:t>5.4</w:t>
            </w:r>
          </w:p>
        </w:tc>
        <w:tc>
          <w:tcPr>
            <w:tcW w:w="6125" w:type="dxa"/>
            <w:tcBorders/>
            <w:vAlign w:val="center"/>
          </w:tcPr>
          <w:p>
            <w:pPr>
              <w:pStyle w:val="TableContents"/>
              <w:bidi w:val="0"/>
              <w:spacing w:before="0" w:after="283"/>
              <w:jc w:val="left"/>
              <w:rPr>
                <w:sz w:val="20"/>
              </w:rPr>
            </w:pPr>
            <w:r>
              <w:rPr>
                <w:sz w:val="20"/>
              </w:rPr>
              <w:t>Company Meeting; Proxy Statement</w:t>
            </w:r>
          </w:p>
        </w:tc>
        <w:tc>
          <w:tcPr>
            <w:tcW w:w="605" w:type="dxa"/>
            <w:tcBorders/>
            <w:vAlign w:val="center"/>
          </w:tcPr>
          <w:p>
            <w:pPr>
              <w:pStyle w:val="TableContents"/>
              <w:bidi w:val="0"/>
              <w:spacing w:before="0" w:after="283"/>
              <w:ind w:left="0" w:right="0" w:firstLine="360"/>
              <w:jc w:val="right"/>
              <w:rPr>
                <w:sz w:val="20"/>
              </w:rPr>
            </w:pPr>
            <w:r>
              <w:rPr>
                <w:sz w:val="20"/>
              </w:rPr>
              <w:t>54</w:t>
            </w:r>
          </w:p>
        </w:tc>
      </w:tr>
      <w:tr>
        <w:trPr/>
        <w:tc>
          <w:tcPr>
            <w:tcW w:w="650" w:type="dxa"/>
            <w:tcBorders/>
            <w:vAlign w:val="center"/>
          </w:tcPr>
          <w:p>
            <w:pPr>
              <w:pStyle w:val="TableContents"/>
              <w:bidi w:val="0"/>
              <w:spacing w:before="0" w:after="283"/>
              <w:jc w:val="left"/>
              <w:rPr>
                <w:sz w:val="20"/>
              </w:rPr>
            </w:pPr>
            <w:r>
              <w:rPr>
                <w:sz w:val="20"/>
              </w:rPr>
              <w:t>5.5</w:t>
            </w:r>
          </w:p>
        </w:tc>
        <w:tc>
          <w:tcPr>
            <w:tcW w:w="6125" w:type="dxa"/>
            <w:tcBorders/>
            <w:vAlign w:val="center"/>
          </w:tcPr>
          <w:p>
            <w:pPr>
              <w:pStyle w:val="TableContents"/>
              <w:bidi w:val="0"/>
              <w:spacing w:before="0" w:after="283"/>
              <w:jc w:val="left"/>
              <w:rPr>
                <w:sz w:val="20"/>
              </w:rPr>
            </w:pPr>
            <w:r>
              <w:rPr>
                <w:sz w:val="20"/>
              </w:rPr>
              <w:t>Regulatory Filings; Consents</w:t>
            </w:r>
          </w:p>
        </w:tc>
        <w:tc>
          <w:tcPr>
            <w:tcW w:w="605" w:type="dxa"/>
            <w:tcBorders/>
            <w:vAlign w:val="center"/>
          </w:tcPr>
          <w:p>
            <w:pPr>
              <w:pStyle w:val="TableContents"/>
              <w:bidi w:val="0"/>
              <w:spacing w:before="0" w:after="283"/>
              <w:ind w:left="0" w:right="0" w:firstLine="360"/>
              <w:jc w:val="right"/>
              <w:rPr>
                <w:sz w:val="20"/>
              </w:rPr>
            </w:pPr>
            <w:r>
              <w:rPr>
                <w:sz w:val="20"/>
              </w:rPr>
              <w:t>57</w:t>
            </w:r>
          </w:p>
        </w:tc>
      </w:tr>
      <w:tr>
        <w:trPr/>
        <w:tc>
          <w:tcPr>
            <w:tcW w:w="650" w:type="dxa"/>
            <w:tcBorders/>
            <w:vAlign w:val="center"/>
          </w:tcPr>
          <w:p>
            <w:pPr>
              <w:pStyle w:val="TableContents"/>
              <w:bidi w:val="0"/>
              <w:spacing w:before="0" w:after="283"/>
              <w:jc w:val="left"/>
              <w:rPr>
                <w:sz w:val="20"/>
              </w:rPr>
            </w:pPr>
            <w:r>
              <w:rPr>
                <w:sz w:val="20"/>
              </w:rPr>
              <w:t>5.6</w:t>
            </w:r>
          </w:p>
        </w:tc>
        <w:tc>
          <w:tcPr>
            <w:tcW w:w="6125" w:type="dxa"/>
            <w:tcBorders/>
            <w:vAlign w:val="center"/>
          </w:tcPr>
          <w:p>
            <w:pPr>
              <w:pStyle w:val="TableContents"/>
              <w:bidi w:val="0"/>
              <w:spacing w:before="0" w:after="283"/>
              <w:jc w:val="left"/>
              <w:rPr>
                <w:sz w:val="20"/>
              </w:rPr>
            </w:pPr>
            <w:r>
              <w:rPr>
                <w:sz w:val="20"/>
              </w:rPr>
              <w:t>Employee Benefit Matters</w:t>
            </w:r>
          </w:p>
        </w:tc>
        <w:tc>
          <w:tcPr>
            <w:tcW w:w="605" w:type="dxa"/>
            <w:tcBorders/>
            <w:vAlign w:val="center"/>
          </w:tcPr>
          <w:p>
            <w:pPr>
              <w:pStyle w:val="TableContents"/>
              <w:bidi w:val="0"/>
              <w:spacing w:before="0" w:after="283"/>
              <w:ind w:left="0" w:right="0" w:firstLine="360"/>
              <w:jc w:val="right"/>
              <w:rPr>
                <w:sz w:val="20"/>
              </w:rPr>
            </w:pPr>
            <w:r>
              <w:rPr>
                <w:sz w:val="20"/>
              </w:rPr>
              <w:t>60</w:t>
            </w:r>
          </w:p>
        </w:tc>
      </w:tr>
      <w:tr>
        <w:trPr/>
        <w:tc>
          <w:tcPr>
            <w:tcW w:w="650" w:type="dxa"/>
            <w:tcBorders/>
            <w:vAlign w:val="center"/>
          </w:tcPr>
          <w:p>
            <w:pPr>
              <w:pStyle w:val="TableContents"/>
              <w:bidi w:val="0"/>
              <w:spacing w:before="0" w:after="283"/>
              <w:jc w:val="left"/>
              <w:rPr>
                <w:sz w:val="20"/>
              </w:rPr>
            </w:pPr>
            <w:r>
              <w:rPr>
                <w:sz w:val="20"/>
              </w:rPr>
              <w:t>5.7</w:t>
            </w:r>
          </w:p>
        </w:tc>
        <w:tc>
          <w:tcPr>
            <w:tcW w:w="6125" w:type="dxa"/>
            <w:tcBorders/>
            <w:vAlign w:val="center"/>
          </w:tcPr>
          <w:p>
            <w:pPr>
              <w:pStyle w:val="TableContents"/>
              <w:bidi w:val="0"/>
              <w:spacing w:before="0" w:after="283"/>
              <w:jc w:val="left"/>
              <w:rPr>
                <w:sz w:val="20"/>
              </w:rPr>
            </w:pPr>
            <w:r>
              <w:rPr>
                <w:sz w:val="20"/>
              </w:rPr>
              <w:t>Indemnification</w:t>
            </w:r>
          </w:p>
        </w:tc>
        <w:tc>
          <w:tcPr>
            <w:tcW w:w="605" w:type="dxa"/>
            <w:tcBorders/>
            <w:vAlign w:val="center"/>
          </w:tcPr>
          <w:p>
            <w:pPr>
              <w:pStyle w:val="TableContents"/>
              <w:bidi w:val="0"/>
              <w:spacing w:before="0" w:after="283"/>
              <w:ind w:left="0" w:right="0" w:firstLine="360"/>
              <w:jc w:val="right"/>
              <w:rPr>
                <w:sz w:val="20"/>
              </w:rPr>
            </w:pPr>
            <w:r>
              <w:rPr>
                <w:sz w:val="20"/>
              </w:rPr>
              <w:t>63</w:t>
            </w:r>
          </w:p>
        </w:tc>
      </w:tr>
      <w:tr>
        <w:trPr/>
        <w:tc>
          <w:tcPr>
            <w:tcW w:w="650" w:type="dxa"/>
            <w:tcBorders/>
            <w:vAlign w:val="center"/>
          </w:tcPr>
          <w:p>
            <w:pPr>
              <w:pStyle w:val="TableContents"/>
              <w:bidi w:val="0"/>
              <w:spacing w:before="0" w:after="283"/>
              <w:jc w:val="left"/>
              <w:rPr>
                <w:sz w:val="20"/>
              </w:rPr>
            </w:pPr>
            <w:r>
              <w:rPr>
                <w:sz w:val="20"/>
              </w:rPr>
              <w:t>5.8</w:t>
            </w:r>
          </w:p>
        </w:tc>
        <w:tc>
          <w:tcPr>
            <w:tcW w:w="6125" w:type="dxa"/>
            <w:tcBorders/>
            <w:vAlign w:val="center"/>
          </w:tcPr>
          <w:p>
            <w:pPr>
              <w:pStyle w:val="TableContents"/>
              <w:bidi w:val="0"/>
              <w:spacing w:before="0" w:after="283"/>
              <w:jc w:val="left"/>
              <w:rPr>
                <w:sz w:val="20"/>
              </w:rPr>
            </w:pPr>
            <w:r>
              <w:rPr>
                <w:sz w:val="20"/>
              </w:rPr>
              <w:t>Parent Agreements Concerning Merger Sub</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5.9</w:t>
            </w:r>
          </w:p>
        </w:tc>
        <w:tc>
          <w:tcPr>
            <w:tcW w:w="6125" w:type="dxa"/>
            <w:tcBorders/>
            <w:vAlign w:val="center"/>
          </w:tcPr>
          <w:p>
            <w:pPr>
              <w:pStyle w:val="TableContents"/>
              <w:bidi w:val="0"/>
              <w:spacing w:before="0" w:after="283"/>
              <w:jc w:val="left"/>
              <w:rPr>
                <w:sz w:val="20"/>
              </w:rPr>
            </w:pPr>
            <w:r>
              <w:rPr>
                <w:sz w:val="20"/>
              </w:rPr>
              <w:t>Takeover Statutes; Rights Agreement</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5.10</w:t>
            </w:r>
          </w:p>
        </w:tc>
        <w:tc>
          <w:tcPr>
            <w:tcW w:w="6125" w:type="dxa"/>
            <w:tcBorders/>
            <w:vAlign w:val="center"/>
          </w:tcPr>
          <w:p>
            <w:pPr>
              <w:pStyle w:val="TableContents"/>
              <w:bidi w:val="0"/>
              <w:spacing w:before="0" w:after="283"/>
              <w:jc w:val="left"/>
              <w:rPr>
                <w:sz w:val="20"/>
              </w:rPr>
            </w:pPr>
            <w:r>
              <w:rPr>
                <w:sz w:val="20"/>
              </w:rPr>
              <w:t>Section 16 Matters</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5.11</w:t>
            </w:r>
          </w:p>
        </w:tc>
        <w:tc>
          <w:tcPr>
            <w:tcW w:w="6125" w:type="dxa"/>
            <w:tcBorders/>
            <w:vAlign w:val="center"/>
          </w:tcPr>
          <w:p>
            <w:pPr>
              <w:pStyle w:val="TableContents"/>
              <w:bidi w:val="0"/>
              <w:spacing w:before="0" w:after="283"/>
              <w:jc w:val="left"/>
              <w:rPr>
                <w:sz w:val="20"/>
              </w:rPr>
            </w:pPr>
            <w:r>
              <w:rPr>
                <w:sz w:val="20"/>
              </w:rPr>
              <w:t>Stockholder Litigation</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5.12</w:t>
            </w:r>
          </w:p>
        </w:tc>
        <w:tc>
          <w:tcPr>
            <w:tcW w:w="6125" w:type="dxa"/>
            <w:tcBorders/>
            <w:vAlign w:val="center"/>
          </w:tcPr>
          <w:p>
            <w:pPr>
              <w:pStyle w:val="TableContents"/>
              <w:bidi w:val="0"/>
              <w:spacing w:before="0" w:after="283"/>
              <w:jc w:val="left"/>
              <w:rPr>
                <w:sz w:val="20"/>
              </w:rPr>
            </w:pPr>
            <w:r>
              <w:rPr>
                <w:sz w:val="20"/>
              </w:rPr>
              <w:t>Stock Exchange Delisting</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5.13</w:t>
            </w:r>
          </w:p>
        </w:tc>
        <w:tc>
          <w:tcPr>
            <w:tcW w:w="6125" w:type="dxa"/>
            <w:tcBorders/>
            <w:vAlign w:val="center"/>
          </w:tcPr>
          <w:p>
            <w:pPr>
              <w:pStyle w:val="TableContents"/>
              <w:bidi w:val="0"/>
              <w:spacing w:before="0" w:after="283"/>
              <w:jc w:val="left"/>
              <w:rPr>
                <w:sz w:val="20"/>
              </w:rPr>
            </w:pPr>
            <w:r>
              <w:rPr>
                <w:sz w:val="20"/>
              </w:rPr>
              <w:t>Publicity</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5.14</w:t>
            </w:r>
          </w:p>
        </w:tc>
        <w:tc>
          <w:tcPr>
            <w:tcW w:w="6125" w:type="dxa"/>
            <w:tcBorders/>
            <w:vAlign w:val="center"/>
          </w:tcPr>
          <w:p>
            <w:pPr>
              <w:pStyle w:val="TableContents"/>
              <w:bidi w:val="0"/>
              <w:spacing w:before="0" w:after="283"/>
              <w:jc w:val="left"/>
              <w:rPr>
                <w:sz w:val="20"/>
              </w:rPr>
            </w:pPr>
            <w:r>
              <w:rPr>
                <w:sz w:val="20"/>
              </w:rPr>
              <w:t>Company Indebtedness</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5.15</w:t>
            </w:r>
          </w:p>
        </w:tc>
        <w:tc>
          <w:tcPr>
            <w:tcW w:w="6125" w:type="dxa"/>
            <w:tcBorders/>
            <w:vAlign w:val="center"/>
          </w:tcPr>
          <w:p>
            <w:pPr>
              <w:pStyle w:val="TableContents"/>
              <w:bidi w:val="0"/>
              <w:spacing w:before="0" w:after="283"/>
              <w:jc w:val="left"/>
              <w:rPr>
                <w:sz w:val="20"/>
              </w:rPr>
            </w:pPr>
            <w:r>
              <w:rPr>
                <w:sz w:val="20"/>
              </w:rPr>
              <w:t>Financing and Financing Cooperation</w:t>
            </w:r>
          </w:p>
        </w:tc>
        <w:tc>
          <w:tcPr>
            <w:tcW w:w="605" w:type="dxa"/>
            <w:tcBorders/>
            <w:vAlign w:val="center"/>
          </w:tcPr>
          <w:p>
            <w:pPr>
              <w:pStyle w:val="TableContents"/>
              <w:bidi w:val="0"/>
              <w:spacing w:before="0" w:after="283"/>
              <w:ind w:left="0" w:right="0" w:firstLine="360"/>
              <w:jc w:val="right"/>
              <w:rPr>
                <w:sz w:val="20"/>
              </w:rPr>
            </w:pPr>
            <w:r>
              <w:rPr>
                <w:sz w:val="20"/>
              </w:rPr>
              <w:t>67</w:t>
            </w:r>
          </w:p>
        </w:tc>
      </w:tr>
      <w:tr>
        <w:trPr/>
        <w:tc>
          <w:tcPr>
            <w:tcW w:w="650" w:type="dxa"/>
            <w:tcBorders/>
            <w:vAlign w:val="center"/>
          </w:tcPr>
          <w:p>
            <w:pPr>
              <w:pStyle w:val="TableContents"/>
              <w:bidi w:val="0"/>
              <w:spacing w:before="0" w:after="283"/>
              <w:jc w:val="left"/>
              <w:rPr>
                <w:sz w:val="20"/>
              </w:rPr>
            </w:pPr>
            <w:r>
              <w:rPr>
                <w:sz w:val="20"/>
              </w:rPr>
              <w:t>5.16</w:t>
            </w:r>
          </w:p>
        </w:tc>
        <w:tc>
          <w:tcPr>
            <w:tcW w:w="6125" w:type="dxa"/>
            <w:tcBorders/>
            <w:vAlign w:val="center"/>
          </w:tcPr>
          <w:p>
            <w:pPr>
              <w:pStyle w:val="TableContents"/>
              <w:bidi w:val="0"/>
              <w:spacing w:before="0" w:after="283"/>
              <w:jc w:val="left"/>
              <w:rPr>
                <w:sz w:val="20"/>
              </w:rPr>
            </w:pPr>
            <w:r>
              <w:rPr>
                <w:sz w:val="20"/>
              </w:rPr>
              <w:t>Notification of Certain Events</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sz w:val="20"/>
              </w:rPr>
            </w:pPr>
            <w:r>
              <w:rPr>
                <w:sz w:val="20"/>
              </w:rPr>
              <w:t>5.17</w:t>
            </w:r>
          </w:p>
        </w:tc>
        <w:tc>
          <w:tcPr>
            <w:tcW w:w="6125" w:type="dxa"/>
            <w:tcBorders/>
            <w:vAlign w:val="center"/>
          </w:tcPr>
          <w:p>
            <w:pPr>
              <w:pStyle w:val="TableContents"/>
              <w:bidi w:val="0"/>
              <w:spacing w:before="0" w:after="283"/>
              <w:jc w:val="left"/>
              <w:rPr>
                <w:sz w:val="20"/>
              </w:rPr>
            </w:pPr>
            <w:r>
              <w:rPr>
                <w:sz w:val="20"/>
              </w:rPr>
              <w:t>Certain Arrangements</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 Conditions to Consummation of the Merger</w:t>
            </w:r>
          </w:p>
        </w:tc>
        <w:tc>
          <w:tcPr>
            <w:tcW w:w="605" w:type="dxa"/>
            <w:tcBorders/>
            <w:vAlign w:val="center"/>
          </w:tcPr>
          <w:p>
            <w:pPr>
              <w:pStyle w:val="TableContents"/>
              <w:bidi w:val="0"/>
              <w:spacing w:before="0" w:after="283"/>
              <w:jc w:val="right"/>
              <w:rPr>
                <w:sz w:val="20"/>
              </w:rPr>
            </w:pPr>
            <w:r>
              <w:rPr>
                <w:sz w:val="20"/>
              </w:rPr>
              <w:t>75</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6.1</w:t>
            </w:r>
          </w:p>
        </w:tc>
        <w:tc>
          <w:tcPr>
            <w:tcW w:w="6125" w:type="dxa"/>
            <w:tcBorders/>
            <w:vAlign w:val="center"/>
          </w:tcPr>
          <w:p>
            <w:pPr>
              <w:pStyle w:val="TableContents"/>
              <w:bidi w:val="0"/>
              <w:spacing w:before="0" w:after="283"/>
              <w:jc w:val="left"/>
              <w:rPr>
                <w:sz w:val="20"/>
              </w:rPr>
            </w:pPr>
            <w:r>
              <w:rPr>
                <w:sz w:val="20"/>
              </w:rPr>
              <w:t>Conditions to Obligations of Each Party Under This Agreement</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sz w:val="20"/>
              </w:rPr>
            </w:pPr>
            <w:r>
              <w:rPr>
                <w:sz w:val="20"/>
              </w:rPr>
              <w:t>6.2</w:t>
            </w:r>
          </w:p>
        </w:tc>
        <w:tc>
          <w:tcPr>
            <w:tcW w:w="6125" w:type="dxa"/>
            <w:tcBorders/>
            <w:vAlign w:val="center"/>
          </w:tcPr>
          <w:p>
            <w:pPr>
              <w:pStyle w:val="TableContents"/>
              <w:bidi w:val="0"/>
              <w:spacing w:before="0" w:after="283"/>
              <w:jc w:val="left"/>
              <w:rPr>
                <w:sz w:val="20"/>
              </w:rPr>
            </w:pPr>
            <w:r>
              <w:rPr>
                <w:sz w:val="20"/>
              </w:rPr>
              <w:t>Conditions to Obligations of the Company Under This Agreement</w:t>
            </w:r>
          </w:p>
        </w:tc>
        <w:tc>
          <w:tcPr>
            <w:tcW w:w="605" w:type="dxa"/>
            <w:tcBorders/>
            <w:vAlign w:val="center"/>
          </w:tcPr>
          <w:p>
            <w:pPr>
              <w:pStyle w:val="TableContents"/>
              <w:bidi w:val="0"/>
              <w:spacing w:before="0" w:after="283"/>
              <w:ind w:left="0" w:right="0" w:firstLine="360"/>
              <w:jc w:val="right"/>
              <w:rPr>
                <w:sz w:val="20"/>
              </w:rPr>
            </w:pPr>
            <w:r>
              <w:rPr>
                <w:sz w:val="20"/>
              </w:rPr>
              <w:t>76</w:t>
            </w:r>
          </w:p>
        </w:tc>
      </w:tr>
      <w:tr>
        <w:trPr/>
        <w:tc>
          <w:tcPr>
            <w:tcW w:w="650" w:type="dxa"/>
            <w:tcBorders/>
            <w:vAlign w:val="center"/>
          </w:tcPr>
          <w:p>
            <w:pPr>
              <w:pStyle w:val="TableContents"/>
              <w:bidi w:val="0"/>
              <w:spacing w:before="0" w:after="283"/>
              <w:jc w:val="left"/>
              <w:rPr>
                <w:sz w:val="20"/>
              </w:rPr>
            </w:pPr>
            <w:r>
              <w:rPr>
                <w:sz w:val="20"/>
              </w:rPr>
              <w:t>6.3</w:t>
            </w:r>
          </w:p>
        </w:tc>
        <w:tc>
          <w:tcPr>
            <w:tcW w:w="6125" w:type="dxa"/>
            <w:tcBorders/>
            <w:vAlign w:val="center"/>
          </w:tcPr>
          <w:p>
            <w:pPr>
              <w:pStyle w:val="TableContents"/>
              <w:bidi w:val="0"/>
              <w:spacing w:before="0" w:after="283"/>
              <w:jc w:val="left"/>
              <w:rPr>
                <w:sz w:val="20"/>
              </w:rPr>
            </w:pPr>
            <w:r>
              <w:rPr>
                <w:sz w:val="20"/>
              </w:rPr>
              <w:t>Conditions to Obligations of Parent and Merger Sub Under This Agreement</w:t>
            </w:r>
          </w:p>
        </w:tc>
        <w:tc>
          <w:tcPr>
            <w:tcW w:w="605" w:type="dxa"/>
            <w:tcBorders/>
            <w:vAlign w:val="center"/>
          </w:tcPr>
          <w:p>
            <w:pPr>
              <w:pStyle w:val="TableContents"/>
              <w:bidi w:val="0"/>
              <w:spacing w:before="0" w:after="283"/>
              <w:ind w:left="0" w:right="0" w:firstLine="360"/>
              <w:jc w:val="right"/>
              <w:rPr>
                <w:sz w:val="20"/>
              </w:rPr>
            </w:pPr>
            <w:r>
              <w:rPr>
                <w:sz w:val="20"/>
              </w:rPr>
              <w:t>76</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VII Termination, Amendment and Waiver</w:t>
            </w:r>
          </w:p>
        </w:tc>
        <w:tc>
          <w:tcPr>
            <w:tcW w:w="605" w:type="dxa"/>
            <w:tcBorders/>
            <w:vAlign w:val="center"/>
          </w:tcPr>
          <w:p>
            <w:pPr>
              <w:pStyle w:val="TableContents"/>
              <w:bidi w:val="0"/>
              <w:spacing w:before="0" w:after="283"/>
              <w:jc w:val="right"/>
              <w:rPr>
                <w:sz w:val="20"/>
              </w:rPr>
            </w:pPr>
            <w:r>
              <w:rPr>
                <w:sz w:val="20"/>
              </w:rPr>
              <w:t>77</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7.1</w:t>
            </w:r>
          </w:p>
        </w:tc>
        <w:tc>
          <w:tcPr>
            <w:tcW w:w="6125" w:type="dxa"/>
            <w:tcBorders/>
            <w:vAlign w:val="center"/>
          </w:tcPr>
          <w:p>
            <w:pPr>
              <w:pStyle w:val="TableContents"/>
              <w:bidi w:val="0"/>
              <w:spacing w:before="0" w:after="283"/>
              <w:jc w:val="left"/>
              <w:rPr>
                <w:sz w:val="20"/>
              </w:rPr>
            </w:pPr>
            <w:r>
              <w:rPr>
                <w:sz w:val="20"/>
              </w:rPr>
              <w:t>Termination</w:t>
            </w:r>
          </w:p>
        </w:tc>
        <w:tc>
          <w:tcPr>
            <w:tcW w:w="605" w:type="dxa"/>
            <w:tcBorders/>
            <w:vAlign w:val="center"/>
          </w:tcPr>
          <w:p>
            <w:pPr>
              <w:pStyle w:val="TableContents"/>
              <w:bidi w:val="0"/>
              <w:spacing w:before="0" w:after="283"/>
              <w:ind w:left="0" w:right="0" w:firstLine="360"/>
              <w:jc w:val="right"/>
              <w:rPr>
                <w:sz w:val="20"/>
              </w:rPr>
            </w:pPr>
            <w:r>
              <w:rPr>
                <w:sz w:val="20"/>
              </w:rPr>
              <w:t>77</w:t>
            </w:r>
          </w:p>
        </w:tc>
      </w:tr>
      <w:tr>
        <w:trPr/>
        <w:tc>
          <w:tcPr>
            <w:tcW w:w="650" w:type="dxa"/>
            <w:tcBorders/>
            <w:vAlign w:val="center"/>
          </w:tcPr>
          <w:p>
            <w:pPr>
              <w:pStyle w:val="TableContents"/>
              <w:bidi w:val="0"/>
              <w:spacing w:before="0" w:after="283"/>
              <w:jc w:val="left"/>
              <w:rPr>
                <w:sz w:val="20"/>
              </w:rPr>
            </w:pPr>
            <w:r>
              <w:rPr>
                <w:sz w:val="20"/>
              </w:rPr>
              <w:t>7.2</w:t>
            </w:r>
          </w:p>
        </w:tc>
        <w:tc>
          <w:tcPr>
            <w:tcW w:w="6125" w:type="dxa"/>
            <w:tcBorders/>
            <w:vAlign w:val="center"/>
          </w:tcPr>
          <w:p>
            <w:pPr>
              <w:pStyle w:val="TableContents"/>
              <w:bidi w:val="0"/>
              <w:spacing w:before="0" w:after="283"/>
              <w:jc w:val="left"/>
              <w:rPr>
                <w:sz w:val="20"/>
              </w:rPr>
            </w:pPr>
            <w:r>
              <w:rPr>
                <w:sz w:val="20"/>
              </w:rPr>
              <w:t>Termination Fee</w:t>
            </w:r>
          </w:p>
        </w:tc>
        <w:tc>
          <w:tcPr>
            <w:tcW w:w="605" w:type="dxa"/>
            <w:tcBorders/>
            <w:vAlign w:val="center"/>
          </w:tcPr>
          <w:p>
            <w:pPr>
              <w:pStyle w:val="TableContents"/>
              <w:bidi w:val="0"/>
              <w:spacing w:before="0" w:after="283"/>
              <w:ind w:left="0" w:right="0" w:firstLine="360"/>
              <w:jc w:val="right"/>
              <w:rPr>
                <w:sz w:val="20"/>
              </w:rPr>
            </w:pPr>
            <w:r>
              <w:rPr>
                <w:sz w:val="20"/>
              </w:rPr>
              <w:t>78</w:t>
            </w:r>
          </w:p>
        </w:tc>
      </w:tr>
      <w:tr>
        <w:trPr/>
        <w:tc>
          <w:tcPr>
            <w:tcW w:w="650" w:type="dxa"/>
            <w:tcBorders/>
            <w:vAlign w:val="center"/>
          </w:tcPr>
          <w:p>
            <w:pPr>
              <w:pStyle w:val="TableContents"/>
              <w:bidi w:val="0"/>
              <w:spacing w:before="0" w:after="283"/>
              <w:jc w:val="left"/>
              <w:rPr>
                <w:sz w:val="20"/>
              </w:rPr>
            </w:pPr>
            <w:r>
              <w:rPr>
                <w:sz w:val="20"/>
              </w:rPr>
              <w:t>7.3</w:t>
            </w:r>
          </w:p>
        </w:tc>
        <w:tc>
          <w:tcPr>
            <w:tcW w:w="6125" w:type="dxa"/>
            <w:tcBorders/>
            <w:vAlign w:val="center"/>
          </w:tcPr>
          <w:p>
            <w:pPr>
              <w:pStyle w:val="TableContents"/>
              <w:bidi w:val="0"/>
              <w:spacing w:before="0" w:after="283"/>
              <w:jc w:val="left"/>
              <w:rPr>
                <w:sz w:val="20"/>
              </w:rPr>
            </w:pPr>
            <w:r>
              <w:rPr>
                <w:sz w:val="20"/>
              </w:rPr>
              <w:t>Effect of Termination</w:t>
            </w:r>
          </w:p>
        </w:tc>
        <w:tc>
          <w:tcPr>
            <w:tcW w:w="605" w:type="dxa"/>
            <w:tcBorders/>
            <w:vAlign w:val="center"/>
          </w:tcPr>
          <w:p>
            <w:pPr>
              <w:pStyle w:val="TableContents"/>
              <w:bidi w:val="0"/>
              <w:spacing w:before="0" w:after="283"/>
              <w:ind w:left="0" w:right="0" w:firstLine="360"/>
              <w:jc w:val="right"/>
              <w:rPr>
                <w:sz w:val="20"/>
              </w:rPr>
            </w:pPr>
            <w:r>
              <w:rPr>
                <w:sz w:val="20"/>
              </w:rPr>
              <w:t>80</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VIII Definitions</w:t>
            </w:r>
          </w:p>
        </w:tc>
        <w:tc>
          <w:tcPr>
            <w:tcW w:w="605" w:type="dxa"/>
            <w:tcBorders/>
            <w:vAlign w:val="center"/>
          </w:tcPr>
          <w:p>
            <w:pPr>
              <w:pStyle w:val="TableContents"/>
              <w:bidi w:val="0"/>
              <w:spacing w:before="0" w:after="283"/>
              <w:jc w:val="right"/>
              <w:rPr>
                <w:sz w:val="20"/>
              </w:rPr>
            </w:pPr>
            <w:r>
              <w:rPr>
                <w:sz w:val="20"/>
              </w:rPr>
              <w:t>81</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8.1</w:t>
            </w:r>
          </w:p>
        </w:tc>
        <w:tc>
          <w:tcPr>
            <w:tcW w:w="6125" w:type="dxa"/>
            <w:tcBorders/>
            <w:vAlign w:val="center"/>
          </w:tcPr>
          <w:p>
            <w:pPr>
              <w:pStyle w:val="TableContents"/>
              <w:bidi w:val="0"/>
              <w:spacing w:before="0" w:after="283"/>
              <w:jc w:val="left"/>
              <w:rPr>
                <w:sz w:val="20"/>
              </w:rPr>
            </w:pPr>
            <w:r>
              <w:rPr>
                <w:sz w:val="20"/>
              </w:rPr>
              <w:t>Certain Definitions</w:t>
            </w:r>
          </w:p>
        </w:tc>
        <w:tc>
          <w:tcPr>
            <w:tcW w:w="605" w:type="dxa"/>
            <w:tcBorders/>
            <w:vAlign w:val="center"/>
          </w:tcPr>
          <w:p>
            <w:pPr>
              <w:pStyle w:val="TableContents"/>
              <w:bidi w:val="0"/>
              <w:spacing w:before="0" w:after="283"/>
              <w:ind w:left="0" w:right="0" w:firstLine="360"/>
              <w:jc w:val="right"/>
              <w:rPr>
                <w:sz w:val="20"/>
              </w:rPr>
            </w:pPr>
            <w:r>
              <w:rPr>
                <w:sz w:val="20"/>
              </w:rPr>
              <w:t>81</w:t>
            </w:r>
          </w:p>
        </w:tc>
      </w:tr>
      <w:tr>
        <w:trPr/>
        <w:tc>
          <w:tcPr>
            <w:tcW w:w="650" w:type="dxa"/>
            <w:tcBorders/>
            <w:vAlign w:val="center"/>
          </w:tcPr>
          <w:p>
            <w:pPr>
              <w:pStyle w:val="TableContents"/>
              <w:bidi w:val="0"/>
              <w:spacing w:before="0" w:after="283"/>
              <w:jc w:val="left"/>
              <w:rPr>
                <w:sz w:val="20"/>
              </w:rPr>
            </w:pPr>
            <w:r>
              <w:rPr>
                <w:sz w:val="20"/>
              </w:rPr>
              <w:t>8.2</w:t>
            </w:r>
          </w:p>
        </w:tc>
        <w:tc>
          <w:tcPr>
            <w:tcW w:w="6125" w:type="dxa"/>
            <w:tcBorders/>
            <w:vAlign w:val="center"/>
          </w:tcPr>
          <w:p>
            <w:pPr>
              <w:pStyle w:val="TableContents"/>
              <w:bidi w:val="0"/>
              <w:spacing w:before="0" w:after="283"/>
              <w:jc w:val="left"/>
              <w:rPr>
                <w:sz w:val="20"/>
              </w:rPr>
            </w:pPr>
            <w:r>
              <w:rPr>
                <w:sz w:val="20"/>
              </w:rPr>
              <w:t>Terms Defined Elsewhere</w:t>
            </w:r>
          </w:p>
        </w:tc>
        <w:tc>
          <w:tcPr>
            <w:tcW w:w="605" w:type="dxa"/>
            <w:tcBorders/>
            <w:vAlign w:val="center"/>
          </w:tcPr>
          <w:p>
            <w:pPr>
              <w:pStyle w:val="TableContents"/>
              <w:bidi w:val="0"/>
              <w:spacing w:before="0" w:after="283"/>
              <w:jc w:val="right"/>
              <w:rPr>
                <w:sz w:val="20"/>
              </w:rPr>
            </w:pPr>
            <w:r>
              <w:rPr>
                <w:sz w:val="20"/>
              </w:rPr>
              <w:t>96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70" w:type="dxa"/>
        <w:jc w:val="left"/>
        <w:tblInd w:w="0" w:type="dxa"/>
        <w:tblLayout w:type="fixed"/>
        <w:tblCellMar>
          <w:top w:w="0" w:type="dxa"/>
          <w:left w:w="0" w:type="dxa"/>
          <w:bottom w:w="0" w:type="dxa"/>
          <w:right w:w="0" w:type="dxa"/>
        </w:tblCellMar>
      </w:tblPr>
      <w:tblGrid>
        <w:gridCol w:w="395"/>
        <w:gridCol w:w="4265"/>
        <w:gridCol w:w="710"/>
      </w:tblGrid>
      <w:tr>
        <w:trPr/>
        <w:tc>
          <w:tcPr>
            <w:tcW w:w="4660" w:type="dxa"/>
            <w:gridSpan w:val="2"/>
            <w:tcBorders/>
            <w:vAlign w:val="center"/>
          </w:tcPr>
          <w:p>
            <w:pPr>
              <w:pStyle w:val="TableContents"/>
              <w:bidi w:val="0"/>
              <w:spacing w:before="0" w:after="283"/>
              <w:jc w:val="left"/>
              <w:rPr>
                <w:caps/>
                <w:sz w:val="20"/>
              </w:rPr>
            </w:pPr>
            <w:r>
              <w:rPr>
                <w:caps/>
                <w:sz w:val="20"/>
              </w:rPr>
              <w:t>Article IX General Provisions</w:t>
            </w:r>
          </w:p>
        </w:tc>
        <w:tc>
          <w:tcPr>
            <w:tcW w:w="710" w:type="dxa"/>
            <w:tcBorders/>
            <w:vAlign w:val="center"/>
          </w:tcPr>
          <w:p>
            <w:pPr>
              <w:pStyle w:val="TableContents"/>
              <w:bidi w:val="0"/>
              <w:spacing w:before="0" w:after="283"/>
              <w:jc w:val="right"/>
              <w:rPr>
                <w:sz w:val="20"/>
              </w:rPr>
            </w:pPr>
            <w:r>
              <w:rPr>
                <w:sz w:val="20"/>
              </w:rPr>
              <w:t>98</w:t>
            </w:r>
          </w:p>
        </w:tc>
      </w:tr>
      <w:tr>
        <w:trPr/>
        <w:tc>
          <w:tcPr>
            <w:tcW w:w="4660" w:type="dxa"/>
            <w:gridSpan w:val="2"/>
            <w:tcBorders/>
            <w:vAlign w:val="center"/>
          </w:tcPr>
          <w:p>
            <w:pPr>
              <w:pStyle w:val="TableContents"/>
              <w:bidi w:val="0"/>
              <w:spacing w:before="0" w:after="283"/>
              <w:jc w:val="left"/>
              <w:rPr>
                <w:caps/>
              </w:rPr>
            </w:pPr>
            <w:r>
              <w:rPr>
                <w:caps/>
              </w:rPr>
              <w:t> </w:t>
            </w:r>
          </w:p>
        </w:tc>
        <w:tc>
          <w:tcPr>
            <w:tcW w:w="710" w:type="dxa"/>
            <w:tcBorders/>
            <w:vAlign w:val="center"/>
          </w:tcPr>
          <w:p>
            <w:pPr>
              <w:pStyle w:val="TableContents"/>
              <w:bidi w:val="0"/>
              <w:spacing w:before="0" w:after="283"/>
              <w:ind w:left="0" w:right="0" w:firstLine="360"/>
              <w:jc w:val="right"/>
              <w:rPr/>
            </w:pPr>
            <w:r>
              <w:rPr/>
              <w:t> </w:t>
            </w:r>
          </w:p>
        </w:tc>
      </w:tr>
      <w:tr>
        <w:trPr/>
        <w:tc>
          <w:tcPr>
            <w:tcW w:w="395" w:type="dxa"/>
            <w:tcBorders/>
            <w:vAlign w:val="center"/>
          </w:tcPr>
          <w:p>
            <w:pPr>
              <w:pStyle w:val="TableContents"/>
              <w:bidi w:val="0"/>
              <w:spacing w:before="0" w:after="283"/>
              <w:jc w:val="left"/>
              <w:rPr>
                <w:sz w:val="20"/>
              </w:rPr>
            </w:pPr>
            <w:r>
              <w:rPr>
                <w:sz w:val="20"/>
              </w:rPr>
              <w:t>9.1</w:t>
            </w:r>
          </w:p>
        </w:tc>
        <w:tc>
          <w:tcPr>
            <w:tcW w:w="4265" w:type="dxa"/>
            <w:tcBorders/>
            <w:vAlign w:val="center"/>
          </w:tcPr>
          <w:p>
            <w:pPr>
              <w:pStyle w:val="TableContents"/>
              <w:bidi w:val="0"/>
              <w:spacing w:before="0" w:after="283"/>
              <w:jc w:val="left"/>
              <w:rPr>
                <w:sz w:val="20"/>
              </w:rPr>
            </w:pPr>
            <w:r>
              <w:rPr>
                <w:sz w:val="20"/>
              </w:rPr>
              <w:t>Fees and Expenses</w:t>
            </w:r>
          </w:p>
        </w:tc>
        <w:tc>
          <w:tcPr>
            <w:tcW w:w="710" w:type="dxa"/>
            <w:tcBorders/>
            <w:vAlign w:val="center"/>
          </w:tcPr>
          <w:p>
            <w:pPr>
              <w:pStyle w:val="TableContents"/>
              <w:bidi w:val="0"/>
              <w:spacing w:before="0" w:after="283"/>
              <w:ind w:left="0" w:right="0" w:firstLine="360"/>
              <w:jc w:val="right"/>
              <w:rPr>
                <w:sz w:val="20"/>
              </w:rPr>
            </w:pPr>
            <w:r>
              <w:rPr>
                <w:sz w:val="20"/>
              </w:rPr>
              <w:t>98</w:t>
            </w:r>
          </w:p>
        </w:tc>
      </w:tr>
      <w:tr>
        <w:trPr/>
        <w:tc>
          <w:tcPr>
            <w:tcW w:w="395" w:type="dxa"/>
            <w:tcBorders/>
            <w:vAlign w:val="center"/>
          </w:tcPr>
          <w:p>
            <w:pPr>
              <w:pStyle w:val="TableContents"/>
              <w:bidi w:val="0"/>
              <w:spacing w:before="0" w:after="283"/>
              <w:jc w:val="left"/>
              <w:rPr>
                <w:sz w:val="20"/>
              </w:rPr>
            </w:pPr>
            <w:r>
              <w:rPr>
                <w:sz w:val="20"/>
              </w:rPr>
              <w:t>9.2</w:t>
            </w:r>
          </w:p>
        </w:tc>
        <w:tc>
          <w:tcPr>
            <w:tcW w:w="4265" w:type="dxa"/>
            <w:tcBorders/>
            <w:vAlign w:val="center"/>
          </w:tcPr>
          <w:p>
            <w:pPr>
              <w:pStyle w:val="TableContents"/>
              <w:bidi w:val="0"/>
              <w:spacing w:before="0" w:after="283"/>
              <w:jc w:val="left"/>
              <w:rPr>
                <w:sz w:val="20"/>
              </w:rPr>
            </w:pPr>
            <w:r>
              <w:rPr>
                <w:sz w:val="20"/>
              </w:rPr>
              <w:t>Notices</w:t>
            </w:r>
          </w:p>
        </w:tc>
        <w:tc>
          <w:tcPr>
            <w:tcW w:w="710" w:type="dxa"/>
            <w:tcBorders/>
            <w:vAlign w:val="center"/>
          </w:tcPr>
          <w:p>
            <w:pPr>
              <w:pStyle w:val="TableContents"/>
              <w:bidi w:val="0"/>
              <w:spacing w:before="0" w:after="283"/>
              <w:ind w:left="0" w:right="0" w:firstLine="360"/>
              <w:jc w:val="right"/>
              <w:rPr>
                <w:sz w:val="20"/>
              </w:rPr>
            </w:pPr>
            <w:r>
              <w:rPr>
                <w:sz w:val="20"/>
              </w:rPr>
              <w:t>98</w:t>
            </w:r>
          </w:p>
        </w:tc>
      </w:tr>
      <w:tr>
        <w:trPr/>
        <w:tc>
          <w:tcPr>
            <w:tcW w:w="395" w:type="dxa"/>
            <w:tcBorders/>
            <w:vAlign w:val="center"/>
          </w:tcPr>
          <w:p>
            <w:pPr>
              <w:pStyle w:val="TableContents"/>
              <w:bidi w:val="0"/>
              <w:spacing w:before="0" w:after="283"/>
              <w:jc w:val="left"/>
              <w:rPr>
                <w:sz w:val="20"/>
              </w:rPr>
            </w:pPr>
            <w:r>
              <w:rPr>
                <w:sz w:val="20"/>
              </w:rPr>
              <w:t>9.3</w:t>
            </w:r>
          </w:p>
        </w:tc>
        <w:tc>
          <w:tcPr>
            <w:tcW w:w="4265" w:type="dxa"/>
            <w:tcBorders/>
            <w:vAlign w:val="center"/>
          </w:tcPr>
          <w:p>
            <w:pPr>
              <w:pStyle w:val="TableContents"/>
              <w:bidi w:val="0"/>
              <w:spacing w:before="0" w:after="283"/>
              <w:jc w:val="left"/>
              <w:rPr>
                <w:sz w:val="20"/>
              </w:rPr>
            </w:pPr>
            <w:r>
              <w:rPr>
                <w:sz w:val="20"/>
              </w:rPr>
              <w:t>Assignment</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9.4</w:t>
            </w:r>
          </w:p>
        </w:tc>
        <w:tc>
          <w:tcPr>
            <w:tcW w:w="4265" w:type="dxa"/>
            <w:tcBorders/>
            <w:vAlign w:val="center"/>
          </w:tcPr>
          <w:p>
            <w:pPr>
              <w:pStyle w:val="TableContents"/>
              <w:bidi w:val="0"/>
              <w:spacing w:before="0" w:after="283"/>
              <w:jc w:val="left"/>
              <w:rPr>
                <w:sz w:val="20"/>
              </w:rPr>
            </w:pPr>
            <w:r>
              <w:rPr>
                <w:sz w:val="20"/>
              </w:rPr>
              <w:t>Severability</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9.5</w:t>
            </w:r>
          </w:p>
        </w:tc>
        <w:tc>
          <w:tcPr>
            <w:tcW w:w="4265" w:type="dxa"/>
            <w:tcBorders/>
            <w:vAlign w:val="center"/>
          </w:tcPr>
          <w:p>
            <w:pPr>
              <w:pStyle w:val="TableContents"/>
              <w:bidi w:val="0"/>
              <w:spacing w:before="0" w:after="283"/>
              <w:jc w:val="left"/>
              <w:rPr>
                <w:sz w:val="20"/>
              </w:rPr>
            </w:pPr>
            <w:r>
              <w:rPr>
                <w:sz w:val="20"/>
              </w:rPr>
              <w:t>References</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9.6</w:t>
            </w:r>
          </w:p>
        </w:tc>
        <w:tc>
          <w:tcPr>
            <w:tcW w:w="4265" w:type="dxa"/>
            <w:tcBorders/>
            <w:vAlign w:val="center"/>
          </w:tcPr>
          <w:p>
            <w:pPr>
              <w:pStyle w:val="TableContents"/>
              <w:bidi w:val="0"/>
              <w:spacing w:before="0" w:after="283"/>
              <w:jc w:val="left"/>
              <w:rPr>
                <w:sz w:val="20"/>
              </w:rPr>
            </w:pPr>
            <w:r>
              <w:rPr>
                <w:sz w:val="20"/>
              </w:rPr>
              <w:t>Construction</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9.7</w:t>
            </w:r>
          </w:p>
        </w:tc>
        <w:tc>
          <w:tcPr>
            <w:tcW w:w="4265" w:type="dxa"/>
            <w:tcBorders/>
            <w:vAlign w:val="center"/>
          </w:tcPr>
          <w:p>
            <w:pPr>
              <w:pStyle w:val="TableContents"/>
              <w:bidi w:val="0"/>
              <w:spacing w:before="0" w:after="283"/>
              <w:jc w:val="left"/>
              <w:rPr>
                <w:sz w:val="20"/>
              </w:rPr>
            </w:pPr>
            <w:r>
              <w:rPr>
                <w:sz w:val="20"/>
              </w:rPr>
              <w:t>Amendment and Waiver</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9.8</w:t>
            </w:r>
          </w:p>
        </w:tc>
        <w:tc>
          <w:tcPr>
            <w:tcW w:w="4265" w:type="dxa"/>
            <w:tcBorders/>
            <w:vAlign w:val="center"/>
          </w:tcPr>
          <w:p>
            <w:pPr>
              <w:pStyle w:val="TableContents"/>
              <w:bidi w:val="0"/>
              <w:spacing w:before="0" w:after="283"/>
              <w:jc w:val="left"/>
              <w:rPr>
                <w:sz w:val="20"/>
              </w:rPr>
            </w:pPr>
            <w:r>
              <w:rPr>
                <w:sz w:val="20"/>
              </w:rPr>
              <w:t>Complete Agreement</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9.9</w:t>
            </w:r>
          </w:p>
        </w:tc>
        <w:tc>
          <w:tcPr>
            <w:tcW w:w="4265" w:type="dxa"/>
            <w:tcBorders/>
            <w:vAlign w:val="center"/>
          </w:tcPr>
          <w:p>
            <w:pPr>
              <w:pStyle w:val="TableContents"/>
              <w:bidi w:val="0"/>
              <w:spacing w:before="0" w:after="283"/>
              <w:jc w:val="left"/>
              <w:rPr>
                <w:sz w:val="20"/>
              </w:rPr>
            </w:pPr>
            <w:r>
              <w:rPr>
                <w:sz w:val="20"/>
              </w:rPr>
              <w:t>Third Party Beneficiaries</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9.10</w:t>
            </w:r>
          </w:p>
        </w:tc>
        <w:tc>
          <w:tcPr>
            <w:tcW w:w="4265" w:type="dxa"/>
            <w:tcBorders/>
            <w:vAlign w:val="center"/>
          </w:tcPr>
          <w:p>
            <w:pPr>
              <w:pStyle w:val="TableContents"/>
              <w:bidi w:val="0"/>
              <w:spacing w:before="0" w:after="283"/>
              <w:jc w:val="left"/>
              <w:rPr>
                <w:sz w:val="20"/>
              </w:rPr>
            </w:pPr>
            <w:r>
              <w:rPr>
                <w:sz w:val="20"/>
              </w:rPr>
              <w:t>Waiver of Trial by Jury</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9.11</w:t>
            </w:r>
          </w:p>
        </w:tc>
        <w:tc>
          <w:tcPr>
            <w:tcW w:w="4265" w:type="dxa"/>
            <w:tcBorders/>
            <w:vAlign w:val="center"/>
          </w:tcPr>
          <w:p>
            <w:pPr>
              <w:pStyle w:val="TableContents"/>
              <w:bidi w:val="0"/>
              <w:spacing w:before="0" w:after="283"/>
              <w:jc w:val="left"/>
              <w:rPr>
                <w:sz w:val="20"/>
              </w:rPr>
            </w:pPr>
            <w:r>
              <w:rPr>
                <w:sz w:val="20"/>
              </w:rPr>
              <w:t>Specific Performance</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9.12</w:t>
            </w:r>
          </w:p>
        </w:tc>
        <w:tc>
          <w:tcPr>
            <w:tcW w:w="4265" w:type="dxa"/>
            <w:tcBorders/>
            <w:vAlign w:val="center"/>
          </w:tcPr>
          <w:p>
            <w:pPr>
              <w:pStyle w:val="TableContents"/>
              <w:bidi w:val="0"/>
              <w:spacing w:before="0" w:after="283"/>
              <w:jc w:val="left"/>
              <w:rPr>
                <w:sz w:val="20"/>
              </w:rPr>
            </w:pPr>
            <w:r>
              <w:rPr>
                <w:sz w:val="20"/>
              </w:rPr>
              <w:t>Counterparts</w:t>
            </w:r>
          </w:p>
        </w:tc>
        <w:tc>
          <w:tcPr>
            <w:tcW w:w="710" w:type="dxa"/>
            <w:tcBorders/>
            <w:vAlign w:val="center"/>
          </w:tcPr>
          <w:p>
            <w:pPr>
              <w:pStyle w:val="TableContents"/>
              <w:bidi w:val="0"/>
              <w:spacing w:before="0" w:after="283"/>
              <w:ind w:left="0" w:right="0" w:firstLine="360"/>
              <w:jc w:val="right"/>
              <w:rPr>
                <w:sz w:val="20"/>
              </w:rPr>
            </w:pPr>
            <w:r>
              <w:rPr>
                <w:sz w:val="20"/>
              </w:rPr>
              <w:t>103</w:t>
            </w:r>
          </w:p>
        </w:tc>
      </w:tr>
      <w:tr>
        <w:trPr/>
        <w:tc>
          <w:tcPr>
            <w:tcW w:w="395" w:type="dxa"/>
            <w:tcBorders/>
            <w:vAlign w:val="center"/>
          </w:tcPr>
          <w:p>
            <w:pPr>
              <w:pStyle w:val="TableContents"/>
              <w:bidi w:val="0"/>
              <w:spacing w:before="0" w:after="283"/>
              <w:jc w:val="left"/>
              <w:rPr>
                <w:sz w:val="20"/>
              </w:rPr>
            </w:pPr>
            <w:r>
              <w:rPr>
                <w:sz w:val="20"/>
              </w:rPr>
              <w:t>9.13</w:t>
            </w:r>
          </w:p>
        </w:tc>
        <w:tc>
          <w:tcPr>
            <w:tcW w:w="4265" w:type="dxa"/>
            <w:tcBorders/>
            <w:vAlign w:val="center"/>
          </w:tcPr>
          <w:p>
            <w:pPr>
              <w:pStyle w:val="TableContents"/>
              <w:bidi w:val="0"/>
              <w:spacing w:before="0" w:after="283"/>
              <w:jc w:val="left"/>
              <w:rPr>
                <w:sz w:val="20"/>
              </w:rPr>
            </w:pPr>
            <w:r>
              <w:rPr>
                <w:sz w:val="20"/>
              </w:rPr>
              <w:t>Governing Law</w:t>
            </w:r>
          </w:p>
        </w:tc>
        <w:tc>
          <w:tcPr>
            <w:tcW w:w="710" w:type="dxa"/>
            <w:tcBorders/>
            <w:vAlign w:val="center"/>
          </w:tcPr>
          <w:p>
            <w:pPr>
              <w:pStyle w:val="TableContents"/>
              <w:bidi w:val="0"/>
              <w:spacing w:before="0" w:after="283"/>
              <w:ind w:left="0" w:right="0" w:firstLine="360"/>
              <w:jc w:val="right"/>
              <w:rPr>
                <w:sz w:val="20"/>
              </w:rPr>
            </w:pPr>
            <w:r>
              <w:rPr>
                <w:sz w:val="20"/>
              </w:rPr>
              <w:t>103</w:t>
            </w:r>
          </w:p>
        </w:tc>
      </w:tr>
      <w:tr>
        <w:trPr/>
        <w:tc>
          <w:tcPr>
            <w:tcW w:w="395" w:type="dxa"/>
            <w:tcBorders/>
            <w:vAlign w:val="center"/>
          </w:tcPr>
          <w:p>
            <w:pPr>
              <w:pStyle w:val="TableContents"/>
              <w:bidi w:val="0"/>
              <w:spacing w:before="0" w:after="283"/>
              <w:jc w:val="left"/>
              <w:rPr>
                <w:sz w:val="20"/>
              </w:rPr>
            </w:pPr>
            <w:r>
              <w:rPr>
                <w:sz w:val="20"/>
              </w:rPr>
              <w:t>9.14</w:t>
            </w:r>
          </w:p>
        </w:tc>
        <w:tc>
          <w:tcPr>
            <w:tcW w:w="4265" w:type="dxa"/>
            <w:tcBorders/>
            <w:vAlign w:val="center"/>
          </w:tcPr>
          <w:p>
            <w:pPr>
              <w:pStyle w:val="TableContents"/>
              <w:bidi w:val="0"/>
              <w:spacing w:before="0" w:after="283"/>
              <w:jc w:val="left"/>
              <w:rPr>
                <w:sz w:val="20"/>
              </w:rPr>
            </w:pPr>
            <w:r>
              <w:rPr>
                <w:sz w:val="20"/>
              </w:rPr>
              <w:t>Consent to Jurisdiction</w:t>
            </w:r>
          </w:p>
        </w:tc>
        <w:tc>
          <w:tcPr>
            <w:tcW w:w="710" w:type="dxa"/>
            <w:tcBorders/>
            <w:vAlign w:val="center"/>
          </w:tcPr>
          <w:p>
            <w:pPr>
              <w:pStyle w:val="TableContents"/>
              <w:bidi w:val="0"/>
              <w:spacing w:before="0" w:after="283"/>
              <w:ind w:left="0" w:right="0" w:firstLine="360"/>
              <w:jc w:val="right"/>
              <w:rPr>
                <w:sz w:val="20"/>
              </w:rPr>
            </w:pPr>
            <w:r>
              <w:rPr>
                <w:sz w:val="20"/>
              </w:rPr>
              <w:t>104</w:t>
            </w:r>
          </w:p>
        </w:tc>
      </w:tr>
      <w:tr>
        <w:trPr/>
        <w:tc>
          <w:tcPr>
            <w:tcW w:w="395" w:type="dxa"/>
            <w:tcBorders/>
            <w:vAlign w:val="center"/>
          </w:tcPr>
          <w:p>
            <w:pPr>
              <w:pStyle w:val="TableContents"/>
              <w:bidi w:val="0"/>
              <w:spacing w:before="0" w:after="283"/>
              <w:jc w:val="left"/>
              <w:rPr>
                <w:sz w:val="20"/>
              </w:rPr>
            </w:pPr>
            <w:r>
              <w:rPr>
                <w:sz w:val="20"/>
              </w:rPr>
              <w:t>9.15</w:t>
            </w:r>
          </w:p>
        </w:tc>
        <w:tc>
          <w:tcPr>
            <w:tcW w:w="4265" w:type="dxa"/>
            <w:tcBorders/>
            <w:vAlign w:val="center"/>
          </w:tcPr>
          <w:p>
            <w:pPr>
              <w:pStyle w:val="TableContents"/>
              <w:bidi w:val="0"/>
              <w:spacing w:before="0" w:after="283"/>
              <w:jc w:val="left"/>
              <w:rPr>
                <w:sz w:val="20"/>
              </w:rPr>
            </w:pPr>
            <w:r>
              <w:rPr>
                <w:sz w:val="20"/>
              </w:rPr>
              <w:t>Non-Recourse</w:t>
            </w:r>
          </w:p>
        </w:tc>
        <w:tc>
          <w:tcPr>
            <w:tcW w:w="710" w:type="dxa"/>
            <w:tcBorders/>
            <w:vAlign w:val="center"/>
          </w:tcPr>
          <w:p>
            <w:pPr>
              <w:pStyle w:val="TableContents"/>
              <w:bidi w:val="0"/>
              <w:spacing w:before="0" w:after="283"/>
              <w:ind w:left="0" w:right="0" w:firstLine="360"/>
              <w:jc w:val="right"/>
              <w:rPr>
                <w:sz w:val="20"/>
              </w:rPr>
            </w:pPr>
            <w:r>
              <w:rPr>
                <w:sz w:val="20"/>
              </w:rPr>
              <w:t>104</w:t>
            </w:r>
          </w:p>
        </w:tc>
      </w:tr>
      <w:tr>
        <w:trPr/>
        <w:tc>
          <w:tcPr>
            <w:tcW w:w="395" w:type="dxa"/>
            <w:tcBorders/>
            <w:vAlign w:val="center"/>
          </w:tcPr>
          <w:p>
            <w:pPr>
              <w:pStyle w:val="TableContents"/>
              <w:bidi w:val="0"/>
              <w:spacing w:before="0" w:after="283"/>
              <w:jc w:val="left"/>
              <w:rPr>
                <w:sz w:val="20"/>
              </w:rPr>
            </w:pPr>
            <w:r>
              <w:rPr>
                <w:sz w:val="20"/>
              </w:rPr>
              <w:t>9.16</w:t>
            </w:r>
          </w:p>
        </w:tc>
        <w:tc>
          <w:tcPr>
            <w:tcW w:w="4265" w:type="dxa"/>
            <w:tcBorders/>
            <w:vAlign w:val="center"/>
          </w:tcPr>
          <w:p>
            <w:pPr>
              <w:pStyle w:val="TableContents"/>
              <w:bidi w:val="0"/>
              <w:spacing w:before="0" w:after="283"/>
              <w:jc w:val="left"/>
              <w:rPr>
                <w:sz w:val="20"/>
              </w:rPr>
            </w:pPr>
            <w:r>
              <w:rPr>
                <w:sz w:val="20"/>
              </w:rPr>
              <w:t>Disclosure Schedules</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9.17</w:t>
            </w:r>
          </w:p>
        </w:tc>
        <w:tc>
          <w:tcPr>
            <w:tcW w:w="4265" w:type="dxa"/>
            <w:tcBorders/>
            <w:vAlign w:val="center"/>
          </w:tcPr>
          <w:p>
            <w:pPr>
              <w:pStyle w:val="TableContents"/>
              <w:bidi w:val="0"/>
              <w:spacing w:before="0" w:after="283"/>
              <w:jc w:val="left"/>
              <w:rPr>
                <w:sz w:val="20"/>
              </w:rPr>
            </w:pPr>
            <w:r>
              <w:rPr>
                <w:sz w:val="20"/>
              </w:rPr>
              <w:t>Survival</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9.18</w:t>
            </w:r>
          </w:p>
        </w:tc>
        <w:tc>
          <w:tcPr>
            <w:tcW w:w="4265" w:type="dxa"/>
            <w:tcBorders/>
            <w:vAlign w:val="center"/>
          </w:tcPr>
          <w:p>
            <w:pPr>
              <w:pStyle w:val="TableContents"/>
              <w:bidi w:val="0"/>
              <w:spacing w:before="0" w:after="283"/>
              <w:jc w:val="left"/>
              <w:rPr>
                <w:sz w:val="20"/>
              </w:rPr>
            </w:pPr>
            <w:r>
              <w:rPr>
                <w:sz w:val="20"/>
              </w:rPr>
              <w:t>Waiver</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9.19</w:t>
            </w:r>
          </w:p>
        </w:tc>
        <w:tc>
          <w:tcPr>
            <w:tcW w:w="4265" w:type="dxa"/>
            <w:tcBorders/>
            <w:vAlign w:val="center"/>
          </w:tcPr>
          <w:p>
            <w:pPr>
              <w:pStyle w:val="TableContents"/>
              <w:bidi w:val="0"/>
              <w:spacing w:before="0" w:after="283"/>
              <w:jc w:val="left"/>
              <w:rPr>
                <w:sz w:val="20"/>
              </w:rPr>
            </w:pPr>
            <w:r>
              <w:rPr>
                <w:sz w:val="20"/>
              </w:rPr>
              <w:t>Obligations of Parent, Merger Sub and the Company</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9.20</w:t>
            </w:r>
          </w:p>
        </w:tc>
        <w:tc>
          <w:tcPr>
            <w:tcW w:w="4265" w:type="dxa"/>
            <w:tcBorders/>
            <w:vAlign w:val="center"/>
          </w:tcPr>
          <w:p>
            <w:pPr>
              <w:pStyle w:val="TableContents"/>
              <w:bidi w:val="0"/>
              <w:spacing w:before="0" w:after="283"/>
              <w:jc w:val="left"/>
              <w:rPr>
                <w:sz w:val="20"/>
              </w:rPr>
            </w:pPr>
            <w:r>
              <w:rPr>
                <w:sz w:val="20"/>
              </w:rPr>
              <w:t>Financing Parties</w:t>
            </w:r>
          </w:p>
        </w:tc>
        <w:tc>
          <w:tcPr>
            <w:tcW w:w="710" w:type="dxa"/>
            <w:tcBorders/>
            <w:vAlign w:val="center"/>
          </w:tcPr>
          <w:p>
            <w:pPr>
              <w:pStyle w:val="TableContents"/>
              <w:bidi w:val="0"/>
              <w:spacing w:before="0" w:after="283"/>
              <w:jc w:val="right"/>
              <w:rPr>
                <w:sz w:val="20"/>
              </w:rPr>
            </w:pPr>
            <w:r>
              <w:rPr>
                <w:sz w:val="20"/>
              </w:rPr>
              <w:t>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A –</w:t>
      </w:r>
      <w:r>
        <w:rPr>
          <w:rFonts w:ascii="Times New Roman;Times;Serif" w:hAnsi="Times New Roman;Times;Serif"/>
          <w:b w:val="false"/>
          <w:i w:val="false"/>
          <w:caps w:val="false"/>
          <w:smallCaps w:val="false"/>
          <w:sz w:val="20"/>
        </w:rPr>
        <w:t xml:space="preserve"> Amended &amp; Restated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August 6,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among DREAM FINDERS HOMES, INC., a Texas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Bulldogs Merger Sub, Inc.</w:t>
      </w:r>
      <w:r>
        <w:rPr>
          <w:rFonts w:ascii="Times New Roman;Times;Serif" w:hAnsi="Times New Roman;Times;Serif"/>
          <w:b w:val="false"/>
          <w:i w:val="false"/>
          <w:caps w:val="false"/>
          <w:smallCaps w:val="false"/>
          <w:sz w:val="20"/>
        </w:rPr>
        <w:t>,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BEAZER HOMES USA,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Certain capitalized terms used in this Agreement shall have the meanings assigned to such terms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other capitalized terms used in this Agreement are defined in the Sections indicated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Parent and Merger Sub desire to effect the merger of Merger Sub with and into the Company, with the Company continuing as the surviving corporation and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on the terms and subject to the conditions set forth in this Agreement and in accordance with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pursuant to which each share of common stock, par value $0.001 per share, of the Company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issued and outstanding immediately prior to the Effective Time, other than Shares to be cancelled or converted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and Dissenting Shares, shall be converted into the right to receive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adopted resolutions (a) approving and declaring the advisability of this Agreement and Transactions, including the Merger, in accordance with the DGCL, (b) determining that this Agreement and the Transactions, including the Merger, are advisable, fair to and in the best interests of the Company and its stockholders, (c) approving the execution, delivery and performance of this Agreement and the consummation of the Transactions, including the Merger, (d) subject to the terms of this Agreement, resolving to recommend that the stockholders of the Company vote in favor of the adoption of this Agreement and (e) directing that this Agreement be submitted to the stockholders of the Company at the Company Meeting for their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upon the terms and subject to the conditions set forth herein, approved and adopted this Agreement and the Transactions, including the Merger, and Parent, as the sole stockholder of Merger Sub, has duly executed and delivered to Merger Sub and the Company a written consent, to be effective by its terms immediately following execution of this Agreement, approving and adopting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approved and declared advisable this Agreement and declared it advisable for Merger Sub to consummate the Transactions,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Company entering into this Agreement, and incurring the obligations set forth herein, and as an inducement and in consideration for the Company to enter into this Agreement, concurrently with the execution and delivery of this Agreement, the Company is entering into a voting agreement with Parent pursuant to which, among other things, Parent has agreed, subject to the terms thereof, to vote all of Parent’s Shares in accordance with the terms of such voting agreement (the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 and the Company desire to make certain representations, warranties, covenants and agreements in connection with the Merger and also to prescribe various 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and in accordance with the DGCL, at the Effective Time, Merger Sub shall be merged with and into the Company. As a result of the Merger, the separate corporate existence of Merger Sub shall cease, and the Company shall continue as the surviving corporation of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The Merger shall be effected pursuant to the DGCL and shall have the effects set forth in this Agreement and the applicable provisions of the DGCL. Without limiting the generality of the foregoing, at the Effective Time, by virtue of the Merger and without the necessity of further action by the Company or any other Person,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 The Merger and other transactions contemplated by this Agreement are referred to herein as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Effective Time, (i) the certificate of incorporation of the Company, as in effect immediately prior to the Effective Time, shall be amended and restated in its entirety to read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as so amended and restated, shall be the certificate of incorporation of the Surviving Corporation, and (ii) the parties shall take all actions reasonably necessary such that the bylaws of Merger Sub in effect immediately prior to the Effective Time shall be the bylaws of the Surviving Corporation as of the Effective Time (except that references therein to the name of Merger Sub shall be replaced by references to the name of the Surviving Corporation), each until amended in accordance with applicable Law and consistent with the obligations set forth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shall take all necessary action such that, at the Effective Time, the directors of Merger Sub immediately prior to the Effective Time or such other individuals designated by Parent as of or prior to the Effective Time shall become the directors of the Surviving Corporation, each to hold office, from and after the Effective Time,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The officers of the Company (other than such officers of the Company in respect of which Parent provides written notice to the Company prior to the Closing that such person shall not be an officer of the Surviving Corporation at the Effective Time) immediately prior to the Effective Time, from and after the Effective Time, shall continue as the officers of the Surviving Corporation, each to hold office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 and Effective Time of the Merger</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(a) at 8:00 a.m., Eastern time, on the third (3rd) Business Day after satisfaction or waiver of all of the applicable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or (b) at such other place, at such other time or on such other date as Parent and the Company may mutually agree in writing. The date on which the Closing actually occurs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On the Closing Date, Merger Sub and the Company shall cause a certificate of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executed and filed with the Secretary of State of the State of Delaware in accordance with the relevant provisions of the DGCL and shall make all other filings required under the DGCL. The Merger shall become 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Conversion of Securities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Conversion of Securities</w:t>
      </w:r>
      <w:r>
        <w:rPr>
          <w:rFonts w:ascii="Times New Roman;Times;Serif" w:hAnsi="Times New Roman;Times;Serif"/>
          <w:b w:val="false"/>
          <w:i w:val="false"/>
          <w:caps w:val="false"/>
          <w:smallCaps w:val="false"/>
          <w:sz w:val="20"/>
        </w:rPr>
        <w:t>. At the Effective Time, by virtue of the Merger and without any action on the part of Parent, Merger Sub, the Company or the holders of any of the following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of Shares</w:t>
      </w:r>
      <w:r>
        <w:rPr>
          <w:rFonts w:ascii="Times New Roman;Times;Serif" w:hAnsi="Times New Roman;Times;Serif"/>
          <w:b w:val="false"/>
          <w:i w:val="false"/>
          <w:caps w:val="false"/>
          <w:smallCaps w:val="false"/>
          <w:sz w:val="20"/>
        </w:rPr>
        <w:t xml:space="preserve">. Each Share issued and outstanding immediately prior to the Effective Time, other than Shares to be cancelled or converted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or Dissenting Shares, shall be converted automatically into the right to receive $33.50 per Share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payable to the holder in cash, without interest,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upon surrender of the Certificates or Book-Entry Shares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As of the Effective Time, all such Shares shall no longer be outstanding and shall automatically be cancelled and shall cease to exist, and shall thereafter represent only the right to receive the Merger Consideration to be paid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For the avoidance of doubt, Company RSAs shall be cancelled and converted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shall not be converted into the right to receive the Merger Consideration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Cancellation of Treasury Shares and Parent-Owned Shares; Conversion of Certain Shares</w:t>
      </w:r>
      <w:r>
        <w:rPr>
          <w:rFonts w:ascii="Times New Roman;Times;Serif" w:hAnsi="Times New Roman;Times;Serif"/>
          <w:b w:val="false"/>
          <w:i w:val="false"/>
          <w:caps w:val="false"/>
          <w:smallCaps w:val="false"/>
          <w:sz w:val="20"/>
        </w:rPr>
        <w:t>. Each Share held by the Company as treasury stock or held directly by Parent or Merger Sub, in each case, immediately prior to the Effective Time, shall automatically be cancelled and shall cease to exist, and no consideration or payment shall be delivered in exchange therefor or in respect thereof. Each Share issued and outstanding immediately prior to the Effective Time that is held by any direct or indirect wholly owned Subsidiary of the Company or by any direct or indirect wholly owned Subsidiary of Parent (other than Merger Sub)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shall equal the ownership percentage of such Subsidiary in the Company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Merger Sub Equity Interests</w:t>
      </w:r>
      <w:r>
        <w:rPr>
          <w:rFonts w:ascii="Times New Roman;Times;Serif" w:hAnsi="Times New Roman;Times;Serif"/>
          <w:b w:val="false"/>
          <w:i w:val="false"/>
          <w:caps w:val="false"/>
          <w:smallCaps w:val="false"/>
          <w:sz w:val="20"/>
        </w:rPr>
        <w:t>. At the Effective Time, each issued and outstanding share of common stock, par value $0.001 per share, of Merger Sub shall be automatically converted into and become one fully paid and non-assessable share of common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Payment for Securities; Surrender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At or prior to the Effective Time, Parent shall designate Equiniti Trust Company, LLC to act as the paying agent for purposes of effecting the payment of the Merger Consideration in connection with the Merger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Subject to the satisfaction or waiver of the closing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Parent shall pay, or cause to be paid, the fees and expenses of the Paying Agent. At or prior to the Effective Time, Parent shall deposit, or cause to be deposited, with the Paying Agent a cash amount that is sufficient to pay the aggregate Merger Consideration to which holders of Shares shall be entitled at the Effective Time pursuant to this Agreement. In the event such deposited funds are insufficient to make the payments contemplated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(including in the event Dissenting Shares lose their status as such and the portion of the Merger Consideration made available to the Paying Agent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to pay for such Dissenting Shares has been returned to the Surviving Corporation pursuant to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Parent shall promptly deposit, or cause to be deposited, with the Paying Agent such additional funds to ensure that the Paying Agent has sufficient funds to make such payments. Such funds shall be invested by the Paying Agent if and as directed by Parent, pending payment thereof by the Paying Agent to the holders of the Shares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investments shall be in obligations of, or guaranteed by, the United States government or rated A-1 or P-1 or better by Moody’s Investor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or money market funds having a rating in the highest investment category granted by a recognized credit rating agency at the time of acquisition or a combination of the foregoing, and that no such investment or loss thereon shall affect the amounts payable to the holders of Shares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Earnings from such investments shall be the sole and exclusive property of Parent or the Surviving Corporation, as Parent directs, and no part of such earnings shall accrue to the benefit of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Procedures for Surrender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As soon as practicable after the Effective Time (and in no event later than three (3) Business Days after the Effective Time), Parent and the Surviving Corporation shall cause the Paying Agent to mail to each Person that was, immediately prior to the Effective Time, a holder of record of Shares represented by certificates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which Shares were converted into the right to receive the Merger Consideration at the Effective Time pursuant to this Agreement: (A) a letter of transmittal, in customary form, which shall specify that delivery shall be effected, and risk of loss and title to the Certificates shall pass, only upon delivery of the Certificates to the Paying Agent, and shall otherwise be in such form as Parent, the Company and the Paying Agent shall reasonably agree; and (B) instructions for effecting the surrender of the Certificates (or affidavits of loss in lieu of the Certificates as provided in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in exchange for payment of the Merger Consideration. Upon surrender of a Certificate (or affidavit of loss in lieu of the Certificate as provided in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to the Paying Agent or to such other agent or agents as may be appointed by Parent, together with delivery of a letter of transmittal, duly executed and in proper form, with respect to such Certificates, the Paying Agent or such other agent, in accordance with the letter of transmittal and instructions, shall transmit to the holder of such Certificates the Merger Consideration for each Share formerly represented by such Certificates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any Certificate so surrendered shall forthwith be cancelled. If payment of the Merger Consideration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 and other similar Taxes required by reason of the payment of the Merger Consideration to a Person other than the registered holder of the Certificate so surrendered and shall have established to the satisfaction of Parent or the Surviving Corporation that such Taxes either have been paid or are not required to be paid. No interest will be paid or accrued on any amount payable upon due surrender of the Certificates. Until surrendered as contemplated hereby, each Certificate shall be deemed at any time after the Effective Time to represent only the right to receive the Merger Consideration in cash as contemplated by this Agreement, except for Certificates representing Dissenting Shares, which shall be deemed to represent with respect to such Dissenting Shares only the right to receive payment of the fair value of such Shares in accordance with and solely to the extent provided by Section 262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Notwithstanding anything to the contrary contained in this Agreement, no holder of non-certificated Shares represented by book-entry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In lieu thereof, each holder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through The Depository Trust Company: (A) a letter of transmittal, in customary form, which shall be in such form as Parent, the Company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 Books; No Further Ownership Rights in Shares</w:t>
      </w:r>
      <w:r>
        <w:rPr>
          <w:rFonts w:ascii="Times New Roman;Times;Serif" w:hAnsi="Times New Roman;Times;Serif"/>
          <w:b w:val="false"/>
          <w:i w:val="false"/>
          <w:caps w:val="false"/>
          <w:smallCaps w:val="false"/>
          <w:sz w:val="20"/>
        </w:rPr>
        <w:t>. At the Effective Time, the stock transfer books of the Company shall be closed and thereafter there shall be no further registration of transfers of Shares on the records of the Company. From and after the Effective Time, the holders of Certificates and Book-Entry Shares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Fund; Abandoned Property; No Liability</w:t>
      </w:r>
      <w:r>
        <w:rPr>
          <w:rFonts w:ascii="Times New Roman;Times;Serif" w:hAnsi="Times New Roman;Times;Serif"/>
          <w:b w:val="false"/>
          <w:i w:val="false"/>
          <w:caps w:val="false"/>
          <w:smallCaps w:val="false"/>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prior to such time shall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in respect of such holder’s surrender of their Certificates or Book-Entry Shares and compliance with the procedures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to pay for Shares for which appraisal rights have been perfected shall be returned to the Surviving Corporation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xml:space="preserve">. In the event that any Certificates shall have been lost, stolen or destroyed, the Paying Agent shall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Parent may, in its reasonable discretion and as a condition precedent to the payment of such Merger Consideration, require the owners of such lost, stolen or destroyed Certificates to deliver a bond in a reasonable sum as Parent may reasonably direct as indemnity against any claim that may be made against Parent, Merger Sub, the Surviving Corporation or the Paying Agent with respect to the Certificates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issued and outstanding immediately prior to the Effective Time and held by a holder who is entitled to, and has properly exercised and perfected his, her or its demand for appraisal rights in accordance with Section 262 of the DGCL with respect to such Shares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the Merger Consideration, but such Dissenting Shares shall be cancelled and cease to exist and the holders of such Dissenting Shares shall only be entitled to receive for such Shares such consideration as shall be determined pursuant to Section 262 of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such holder fails to perfect or otherwise waives, withdraws or loses his, her or its right to appraisal and payment under Section 262 of the DGCL (whether occurring before, at or after the Effective Time) with respect to any Dissenting Shares, such Dissenting Shares shall thereupon be deemed to have been converted as of the Effective Time into and shall be exchangeable solely for the right to receive the Merger Consideration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(to be paid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without any interest thereon and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such Shares shall no longer be deemed to be Dissenting Shares. The Company shall give Parent prompt notice and copies of any demands for appraisal of any Shares, withdrawals or attempted withdrawals of such demands and any other instruments served pursuant to the DGCL and received by the Company relating to rights of appraisal. Parent shall have the right to direct all negotiations and proceedings with respect to such demands. Prior to the Effective Time, the Company shall not, except with the prior written consent of Parent, make any payment with respect to, or settle or compromise, any such demands, waive any failure to timely deliver a written demand for appraisal under the DGCL, approve any withdrawal of any such demands or propose or otherwise agree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Treatment of Company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Immediately prior to the Effective Time, each Company Option, to the extent then unexercised, shall, automatically and without any required action on the part of the holder thereof, become immediately vested and be cancelled and shall only entitle the holder of such Company Option to receive an amount in cash, without interest, equal to: (x) the total number of Shares subject to such Company Option;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excess, if any, of the Merger Consideration over the exercise price per share under such Company Option, less applicable Taxes required to be withheld with respect to such payment. For the avoidance of doubt, any Company Option which has a per share exercise price that is greater than or equal to the Merger Consideration shall be cancelled at the Effective Time for no consideration 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RSAs</w:t>
      </w:r>
      <w:r>
        <w:rPr>
          <w:rFonts w:ascii="Times New Roman;Times;Serif" w:hAnsi="Times New Roman;Times;Serif"/>
          <w:b w:val="false"/>
          <w:i w:val="false"/>
          <w:caps w:val="false"/>
          <w:smallCaps w:val="false"/>
          <w:sz w:val="20"/>
        </w:rPr>
        <w:t xml:space="preserve">. Except as provided by Section 5.1 of the Company Disclosure Schedule, immediately prior to the Effective Time, each Company RSA shall, automatically and without any required action on the part of the holder thereof, be cancelled and converted into the right of the holder of such Company RSA to receive an amount in cash, without interest, equal to (x) the aggregate number of Shares subject to such Company RSA immediately prior to the Effective Time,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Merger Consideration,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Performance-Based RSAs</w:t>
      </w:r>
      <w:r>
        <w:rPr>
          <w:rFonts w:ascii="Times New Roman;Times;Serif" w:hAnsi="Times New Roman;Times;Serif"/>
          <w:b w:val="false"/>
          <w:i w:val="false"/>
          <w:caps w:val="false"/>
          <w:smallCaps w:val="false"/>
          <w:sz w:val="20"/>
        </w:rPr>
        <w:t xml:space="preserve">. Immediately prior to the Effective Time, each Company Performance-Based RSA shall, automatically and without any action on the part of the holders thereof, be cancelled and converted into the right of the holder of such Company Performance-Based RSA to receive an amount in cash, without interest, equal to (x) the total number of Shares subject to such Company Performance-Based RSA immediately prior to the Effective Time (with the performance conditions for any uncompleted periods applicable to such Company Performance-Based RSA deemed achieved at target level),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Merger Consideration,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Performance-Based Cash Awards</w:t>
      </w:r>
      <w:r>
        <w:rPr>
          <w:rFonts w:ascii="Times New Roman;Times;Serif" w:hAnsi="Times New Roman;Times;Serif"/>
          <w:b w:val="false"/>
          <w:i w:val="false"/>
          <w:caps w:val="false"/>
          <w:smallCaps w:val="false"/>
          <w:sz w:val="20"/>
        </w:rPr>
        <w:t>. Immediately prior to the Effective Time, each Company Performance-Based Cash Award shall, automatically and without any required action on the part of the holder thereof, be cancelled and converted into the right of the holder of such Company Performance-Based Cash Award to receive an amount in cash, without interest, equal to the value of the Company Performance-Based Cash Award (with the performance conditions for any uncompleted periods applicable to such Company Performance-Based Cash Award deemed achieved at target level),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of the Company Equity Plan</w:t>
      </w:r>
      <w:r>
        <w:rPr>
          <w:rFonts w:ascii="Times New Roman;Times;Serif" w:hAnsi="Times New Roman;Times;Serif"/>
          <w:b w:val="false"/>
          <w:i w:val="false"/>
          <w:caps w:val="false"/>
          <w:smallCaps w:val="false"/>
          <w:sz w:val="20"/>
        </w:rPr>
        <w:t>. As of the Effective Time, the Company Equity Plan shall immediately terminate and no further Company Awards or other awards or rights with respect to Shares shall be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Effective Time, the Company Board (or, if appropriate, any committee thereof) shall adopt appropriate resolutions and take such other actions as are reasonably necessary to effect the transactions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Payment for Company Awards</w:t>
      </w:r>
      <w:r>
        <w:rPr>
          <w:rFonts w:ascii="Times New Roman;Times;Serif" w:hAnsi="Times New Roman;Times;Serif"/>
          <w:b w:val="false"/>
          <w:i w:val="false"/>
          <w:caps w:val="false"/>
          <w:smallCaps w:val="false"/>
          <w:sz w:val="20"/>
        </w:rPr>
        <w:t>. At or prior to the Effective Time, Parent will deposit (or cause to be deposited) with the Company by wire transfer of immediately available funds, the aggregate amount owed to holders of Company Options, Company RSAs, Company Performance-Based RSAs and Company Performance-Based Cash Awards (prior to giving effect to any required Tax withholdings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As promptly as reasonably practicable following the Effective Time, but in no event later than the later of (i) the Surviving Corporation’s first regularly scheduled payroll following the Effective Time and (ii) ten (10) Business Days following the Effective Time, the applicable former holders of Company Options, Company RSAs, Company Performance-Based RSAs and Company Performance-Based Cash Awards will receive a payment from the Surviving Corporation, through its payroll system or payroll provider (or with respect to former non-employee directors of the Company, through the Surviving Corporation’s accounts payable department), of all amounts required to be paid to such former holders in respect of the Company Options, Company RSAs, Company Performance-Based RSAs and Company Performance-Based Cash Awards that were cancelled and converted pursuant to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xml:space="preserve">, as applicable (after giving effect to any required Tax withholdings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Notwithstanding the foregoing, if any payment owed to a holder of Company Options, Company RSAs, Company Performance-Based RSAs or Company Performance-Based Cash Awards pursuant to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as applicable, cannot be made through the Surviving Corporation’s payroll system or payroll provider (or with respect to former non-employee directors of the Company, accounts payable), then the Surviving Corporation will issue a check for such payment to such holder (less applicable withholding Taxes), which check will be sent by courier to such holder at the address specified on such holder’s Form W-9 submitted to the Surviving Corporation promptly following the Effective Time (but in no event later than the later of (i) the Surviving Corporation’s first regularly scheduled payroll following the Effective Time and (ii) ten (10) Business Days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The Company, Parent, Merger Sub, the Surviving Corporation and the Paying Agent, as the case may be, shall be entitled to deduct and withhold (or cause to be deducted and withheld) from any amounts otherwise payable pursuant to this Agreement such amounts as they determine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combination, exchange of shares or other similar event (in each case, other than with respect to the rights under the Rights Agreement becoming exercisable as a result of Parent or any of its affiliates or other Representatives becoming an “Acquiring Person” (as defined in the Rights Agreement)), the Merger Consideration shall be equitably adjusted to reflect such event and to provide to holders of Shares and Company Awards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be deemed to permit or authorize the Company to take any such action or effect any such change that it is not otherwise authorized or permitted to take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is otherwise prohibited or restricted by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the Company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(x) as set forth in the disclosure schedule delivered by the Company to Parent and Merger Sub concurrently with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or (y) as otherwise disclosed in the Company SEC Documents filed and publicly available at least two (2) Business Days prior to the date of this Agreement (other than any risk factor disclosures (excluding statements of historical fact) in any such Company SEC Document contained in the “Risk Factors” section thereof or other similarly cautionary, forward-looking or predictive statements in such Company SEC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(y) shall not apply to any of the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the first sentence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or any of the Company Fundamental Representations), the Company hereby represents and warrants to Parent and Merger Sub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all requisite corporate power and authority to own its properties and conduct its business as presently conducted and is duly qualified to do business and in good standing in each jurisdiction where its business requires such qualification, except as has not had and would not reasonably be expected to have, individually or in the aggregate, a Company Material Adverse Effect. The copies of the Company Charter and the Company By-Laws, as most recently filed with the Company SEC Documents, are true, complete and correct copies of such documents as in effect as of the date of this Agreement and such documents are in full force and effect. The Company is not in violation of any of the provisions of the Company Charter or the Company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Company’s Subsidiaries is in violation in any material respect of any provision of its organizational or governing documents. Each Subsidiary of the Company is a corporation or other legal entity duly organized, validly existing and, to the extent such concept is applicable, in good standing under the laws of the jurisdiction of its formation and has all requisite corporate or similar power and authority to own its properties and conduct its business as presently conducted, except where the failure to be so organized, existing or in good standing, or to have such power or authority, has not had and would not reasonably be expected to have, individually or in the aggregate, a Company Material Adverse Effect. Each Subsidiary of the Company is duly qualified to do business and in good standing in each jurisdiction where its business requires such qualification,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sixty-three million (63,000,000) Shares and five million (5,000,000) shares of preferred stock, par value $0.01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of August 4,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(i) 26,343,437 Shares (other than treasury shares) were issued and outstanding, all of which were validly issued and fully paid, nonassessable and free of preemptive rights, of which 543,323 Shares were issued as Company RSAs (for the avoidance of doubt, not including Company Performance-Based RSAs), (ii) 22,411 Shares were subject to Company Options, (iii) 336,186 Shares were issued as Company Performance-Based RSAs (at the target level for the applicable performance goals), (iv) 630,518 Shares were held in the treasury of the Company, and (v) no shares of Preferred Stock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and other than as provided in the Company Equity Plan or in the Rights Agreement, there are no options, warrants or other rights, agreements, arrangements or commitments of any character (including any shareholders agreements, voting trusts, proxies or other similar agreements or any obligations requiring the registration for sale of any shares of capital stock or other voting or equity interests)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or any of its Subsidiaries to issue or sell any shares of the Company’s capital stock or other Equity Interests, or securities convertible into or exchangeable for such capital stock of, or other Equity Interests in, the Company. Since the Capitalization Date and prior to the date of this Agreement, except for the issuance of Shares under the Company Equity Plan in accordance with its terms, the Company has not issued any shares of its capital stock or other Equity Interests, or securities convertible into or exchangeable for such capital stock or other Equity Interests, other than those shares of capital stock reserved for issuance in respect of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3.2(c) of the Company Disclosure Schedule sets forth a true and complete list, as of the Capitalization Date, with respect to each outstanding Company Award, of (i) the holder thereof, (ii) the grant date thereof, (iii) the type thereof, (iv) the total number of Shares subject thereto (assuming for this purpose that all performance goals applicable to Company Performance-Based RSAs are achieved at the target level), (v) with respect to each Company Performance-Based RSA, the maximum number of Shares that may be earned thereunder and (vi) with respect to each Company Option, the exercise price thereof. Accurate and complete copies of the standard grant agreement evidencing the Company Awards and each grant agreement evidencing each Company Award that is not consistent in any material respect with the standard agreement have been made available to Parent. All Shares subject to issuance under the Company Equity Plan, upon issuance prior to the Effective Time on the terms and conditions specified in the instruments pursuant to which they are issuable, will be duly authorized, validly issued, fully paid, nonassessable and free of preemptive rights. All Company Awards have been granted in compliance, in all material respects, with applicable Law and the terms of the applicable Company Equity Plan. Except for the Company Charter and the Rights Agreement, there are no outstanding contractual obligations of the Company or any of its Subsidiaries (A) restricting the transfer of, (B) affecting the voting rights of, (C) requiring the repurchase, redemption or disposition of, or containing any right of first refusal with respect to, (D) requiring the registration for sale of, or (E) granting any preemptive or antidilutive right with respect to, any Shares or any capital stock of, or other Equity Interests in,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3.2(d) of the Company Disclosure Schedule sets forth a complete list of each Subsidiary of the Company, together with its jurisdiction of organization or incorporation and the ownership interest (and percentage interest) of the Company or its Subsidiaries, in such Subsidiary. The Company and its Subsidiaries own, directly or indirectly, all of the issued and outstanding shares of capital stock or other Equity Interests of each of the Subsidiaries of the Company, free and clear of any Liens other than transfer and other restrictions under applicable securities Laws, and all of such outstanding shares of stock or other Equity Interests have been duly authorized and validly issued and are fully paid, nonassessable and free of preemptive rights. There are no options, warrants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a Subsidiary of the Company, or securities convertible into or exchangeable for such capital stock or other Equity Interests of such Subsidiary, or obligating the Company or any Subsidiary of the Company to issue or sell any shares of a Subsidiary’s capital stock or other Equity Interests, or securities convertible into or exchangeable for such capital stock of, or other Equity Interests in, such Subsidiary. No Subsidiary of the Company owns any Shares or any capital stock of, or other Equity Interests in, the Company. Other than in a Subsidiary of the Company, neither the Company nor any Subsidiary of the Company owns or holds any Equity Interest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outstanding bonds, debentures, notes or other indebtedness, or other securities, the holders of which have the right to vote (or which are convertible into or exercisable for securities having the right to vote) with the stockholders of the Company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all necessary power and authority to execute and deliver this Agreement, to perform and comply with each of its obligations under this Agreement and to consummate the Transactions, subject to the receipt of the Requisite Company Stockholder Approval and the filing of the Certificate of Merger with the Secretary of State of the State of Delaware and assuming the accuracy of the representations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execution and delivery by the Company of this Agreement, the performance and compliance by the Company with each of its obligations herein, and the consummation by it of the Transactions have been duly authorized by all necessary corporate action on the part of the Company, and subject to receipt of the Requisite Company Stockholder Approval and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and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this Agreement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at a meeting duly called and held at which all directors of the Company Board were present, duly and unanimously adopted resolutions (i) approving and declaring the advisability of this Agreement and the Transactions, including the Merger, in accordance with the DGCL, (ii) determining that this Agreement and the Transactions, including the Merger, are advisable, fair to and in the best interests of the Company’s stockholders, (iii) approving the execution, delivery and performance of this Agreement, the Voting Agreement and the consummation of the Transactions, (iv) subject to the terms of this Agreement, resolving to recommend that the stockholders of the Company vote in favor of the adoption of this Agreement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(v) directing that this Agreement be submitted to the stockholders of the Company at the Company Meeting for adoption, which resolutions, except as permitted by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have not been subsequently rescinded, withdrawn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Company Board has taken all necessary actions so that the restrictions on business combinations set forth in Section 203 of the DGCL and any other similar Law are not applicable to this Agreement and the Transactions, including the Merger. No other takeover, anti-takeover, business combination, “fair price,” control share acquisition or similar Law applies to the Merger or the other Transactions. Assuming the accuracy of the representation set forth in the second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Company Board has taken all necessary action to render the Rights Agreement inapplicable to this Agreement, the Merger and the other Transactions.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only vote of holders of any class or series of Shares or other Equity Interests of the Company necessary to adopt this Agreement is the Requisite Company Stockholder Approval.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no other vote of the holders of Shares or any other Equity Interests of the Company is necessary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No Conflicts; Governmental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does not and will not, and the performance of this Agreement by the Company and the consummation of the Transactions will not, directly or indirectly (with or without notice or lapse of time, or both), (i) assuming the Requisite Company Stockholder Approval is obtained, conflict with or violate any provision of the Company Charter or the Company By-Laws, (ii) assuming the Requisite Company Stockholder Approval is obtained, conflict with or violate any provision of any organizational documents of any Subsidiary of the Company, (iii) assuming that all consents, approvals, authorizations and permits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obtained, that all filings and notifications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made and any waiting periods thereunder have terminated or expired, that the Requisite Company Stockholder Approval is obtained, and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conflict with or violate any Law applicable to the Company or any of its Subsidiaries or by which any property or asset of the Company or any of its Subsidiaries is bound or affected or (iv)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the Company or any of its Subsidiaries pursuant to, any Contract or Permit to which the Company or any of its Subsidiaries is party (or by which any of their respective properties or assets are bound), except, with respect to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for any such conflicts, violations, breaches, defaults or other occurrences which (A) have not had and would not reasonably be expected to have, individually or in the aggregate, a Company Material Adverse Effect or (B) would not reasonably be expected, individually or in the aggregate, to material delay or materially impair the consummation by the Company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the Company does not and will not, and the consummation by the Company of the Merger, the other Transactions and the transactions contemplated by the Voting Agreement and compliance by the Company with any of the terms or provisions hereof and thereof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requirements of any Antitrust Laws or Other Required Filings, (iv) the filing and recordation of the Certificate of Merger as required by the DGCL and (v) where failure to obtain such consents, approvals, authorizations or permits, or to make such filings or notifications,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SEC Documents; 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furnished on a timely basis all reports, schedules, forms, statements, registration statements, prospectuses and other documents required to be filed or furnished by the Company with the SEC under the Securities Act or the Exchange Act since October 1, 2023, together with all certifications required pursuant to the Sarbanes-Oxley Act of 2002, as amended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(such documents and any other documents filed by the Company with the SEC since October 1, 2023, as they have been supplemented, modified or amended since the time of filing, collectively,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None of the Subsidiaries of the Company is required to file any periodic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(or, if amended or superseded prior to the date of this Agreement, on the date of the last such filing), each Company SEC Document complied as to form in all material respects with the requirements of the Exchange Act or the Securities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in each case when filed or furnished, or with respect to any proxy statement filed pursuant to the Exchange Act, on the date of the applicable meeting. As of the date of this Agreement, there are no outstanding or unresolved comments received from the SEC with respect to any Company SEC Documents. There has been no material correspondence between the SEC and the Company since October 1, 2023 that is not set forth in the Company SEC Documents or that has not otherwise been disclosed to Parent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Times;Serif" w:hAnsi="Times New Roman;Times;Serif"/>
          <w:b w:val="false"/>
          <w:i w:val="false"/>
          <w:caps w:val="false"/>
          <w:smallCaps w:val="false"/>
          <w:sz w:val="20"/>
          <w:u w:val="single"/>
        </w:rPr>
        <w:t>Company SEC Financial Statements</w:t>
      </w:r>
      <w:r>
        <w:rPr>
          <w:rFonts w:ascii="Times New Roman;Times;Serif" w:hAnsi="Times New Roman;Times;Serif"/>
          <w:b w:val="false"/>
          <w:i w:val="false"/>
          <w:caps w:val="false"/>
          <w:smallCaps w:val="false"/>
          <w:sz w:val="20"/>
        </w:rPr>
        <w:t>”) (i)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(ii) were prepared in accordance with GAAP (as in effect in the United States on the date of such Company SEC Financial Statements) as applied by the Company on a consistent basis throughout the periods covered thereby (except as may be indicated in the notes thereto or, in the case of unaudited statements, as permitted by Form 10-Q of the SEC), subject, in the case of interim Company SEC Financial Statements, to normal year-end adjustments that are not material in amount or nature and the absence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timely filed all certifications and statements required by (i) Rule 13a-14 or Rule 15d-14 under the Exchange Act; or (ii) 18 U.S.C. Section 1350 (Section 906 of the Sarbanes-Oxley Act) with respect to all applicable Company SEC Documents. The Company maintains disclosure controls and procedures required and as defined by Rule 13a-15 or Rule 15d-15 under the Exchange Act, which such controls and procedures are reasonably designed to ensure that all material information concerning the Company and its Subsidiaries is made known on a timely basis to the individuals responsible for the preparation of the Company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designed and maintains a system of internal control over financial reporting (as defined in Rules 13a-15(f) and 15d-15(f) of the Exchange Act) as required by Rule 13a-15 under the Exchange Act and sufficient to provide reasonable assurance regarding the reliability of financial reporting for the Company and its Subsidiaries for external purposes in accordance with GAAP. Since October 1, 2024, to the Knowledge of the Company, there have been no significant deficiencies or material weaknesses identified in management’s assessment of internal control over financial reporting or any fraud, whether or not material, related to the Company, its Subsidiaries or their respective businesses or that involves the management or other employees of the Company or any of its Subsidiaries who have a significant role in the Company’s internal control over financial reporting or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do not have any liabilities or obligations of any nature (whether absolute or contingent, asserted or unasserted, known or unknown, primary or secondary, direct or indirect, and whether or not accrued),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(iii) for liabilities and obligations incurred pursuant to the Transactions, (iv) for liabilities incurred that have been discharged or paid in full prior to the date of this Agreement and (v) for liabilities and obligations that have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Since October 1, 2025 through the date of this Agreement, (a) the Company and its Subsidiaries have conducted their businesses in all material respects in the ordinary course and in a manner consistent with past practice and (b) there has not been any change, event, development, state of facts, circumstance, condition or occurrence that has had, or would reasonably be expected to have, individually or in the aggregate, a Company Material Adverse Effect. Since October 1, 2025 through the date of this Agreement, neither the Company nor any of its Subsidiaries has taken any action that would have required Parent’s consent pursuant to </w:t>
      </w:r>
      <w:r>
        <w:rPr>
          <w:rFonts w:ascii="Times New Roman;Times;Serif" w:hAnsi="Times New Roman;Times;Serif"/>
          <w:b w:val="false"/>
          <w:i w:val="false"/>
          <w:caps w:val="false"/>
          <w:smallCaps w:val="false"/>
          <w:sz w:val="20"/>
          <w:u w:val="single"/>
        </w:rPr>
        <w:t>Section 5.1(b), 5.1(c), 5.1(d)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5.1(u)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5.1(v)</w:t>
      </w:r>
      <w:r>
        <w:rPr>
          <w:rFonts w:ascii="Times New Roman;Times;Serif" w:hAnsi="Times New Roman;Times;Serif"/>
          <w:b w:val="false"/>
          <w:i w:val="false"/>
          <w:caps w:val="false"/>
          <w:smallCaps w:val="false"/>
          <w:sz w:val="20"/>
        </w:rPr>
        <w:t> had the covenants therein applied since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with respect to any statements made or incorporated by reference in the Proxy Statement based on information supplied by or on behalf of Parent or Merger Sub for inclusion or incorporation by reference therein). The Proxy Statement will, at the date that the Proxy Statement or any amendment or supplement thereto is mailed to holders of Shares and at the time of the Company Meeting, comply as to form in all material respects with the requirements of the Exchange Act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Litigation; Orders</w:t>
      </w:r>
      <w:r>
        <w:rPr>
          <w:rFonts w:ascii="Times New Roman;Times;Serif" w:hAnsi="Times New Roman;Times;Serif"/>
          <w:b w:val="false"/>
          <w:i w:val="false"/>
          <w:caps w:val="false"/>
          <w:smallCaps w:val="false"/>
          <w:sz w:val="20"/>
        </w:rPr>
        <w:t>. There are no, and since October 1, 2023, there have been no, Proceedings pending or, to the Knowledge of the Company, threatened against Company or any of its Subsidiaries or any of their respective officers or directors (in their capacities as such), at law or in equity, and none of the Company or any of its Subsidiaries or any of their respective officers or directors (in their capacities as such), is, or has been since such date, subject to any outstanding Order, except, in each case,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and have been since October 1, 2024 in compliance with all Laws (including the Gramm-Leach-Bliley Act, the Sarbanes-Oxley Act, the Fair Housing Act, the Real Estate Settlement Procedures Act and Regulation X thereunder, the Dodd-Frank Wall Street Reform and Consumer Protection Act, any regulations promulgated by the Consumer Financial Protection Bureau and the Federal Housing Finance Agency, Electronic Signatures in Global and National Commerce Act, the Homeowners Protection Act, Environmental Laws, employee benefits and labor Laws and all other applicable Laws relating to the provision of title insurance and home insurance) applicable to the Company or such Subsidiary or any of their respective properties or assets, except where such non-compliance has not had and would not reasonably be expected to be, individually or in the aggregate, material to the Company and its Subsidiaries taken as a whole. Except as has not had and would not reasonably be expected to have, individually or in the aggregate, a Company Material Adverse Effect, since October 1, 2023, none of the Company or its Subsidiaries has received any written communication from a Governmental Entity regarding non-compliance with Laws applicable to the Company or such Subsidiary or any of their respective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with respect to the Insurance Laws, covered in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the Company and its Subsidiaries are and have been since October 1, 2023, in possession of all franchises, grants, authorizations, licenses, permits, easements, variances, exemptions, consents, certificates, approvals, registrations, clearances and orders of any Governmental Entity or Regulatory Agency or pursuant to any applicable Law necessary for the Company and its Subsidiaries to own, lease and operate their properties and assets or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of its Subsidiaries has received any written notice from any Governmental Entity or Regulatory Agency threatening to suspend, revoke, withdraw or modify any such Company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since October 1, 2023, none of the Company or any of its Subsidiaries, or, to the Knowledge of the Company, any third party (including the Company’s or its Subsidiaries’ respective Representatives) acting on behalf of the Company or its Subsidiaries, has (i) taken any action in violation of any applicable Anti-Corruption Laws or Anti-Money Laundering Laws, or (ii) offered, authorized, provided or given (or made attempts at doing any of the foregoing) any payment or thing of value to any Person, including a “foreign official” (as defined by the FCPA), for the purpose of influencing any act or decision of such Person to unlawfully obtain or retain business or other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 of the Company Disclosure Schedule sets forth a complete and accurate list of each material Company Benefit Plan; provided, however, that Section 3.10(a) of the Company Disclosure Schedule need not list (i) individualized Contracts with respect to Company Awards that are consistent in all material respects with a standard form of award agreement under the Company Equity Plan, or (ii) individual employment, individual consulting, or management Contracts that are consistent in all material respects with a standard form of employment, individual consulting, or management agreement (as applicable), in each case; provided, that, the form of such agreement is referenced in Section 3.10(a) of the Company Disclosure Schedule and a list of the employees who are subject to each form of such agreement and their material relevant economic terms have been made available to Parent. For purposes of this Agreement, “Company Benefit Plan” means, each employee benefit plan (as defined in Section 3(3) of ERISA), whether or not subject to ERISA, and each bonus, stock, stock purchase, phantom stock, stock appreciation, restricted stock unit, stock option or other equity or equity-based compensation right or award, incentive, deferred compensation, retirement or supplemental retirement, severance, termination, employment, consulting, retention, change-in-control, profit sharing, vacation (or other paid time off benefit), cafeteria, dependent care, medical care, dental, vision, disability, life insurance or accident insurance plans, programs or arrangements, employee assistance program, education or tuition assistance programs, and each insurance and other similar fringe or employee benefit plan, policy, program, agreement or arrangement, in each case, for the benefit of current or former Service Providers (or any current or former dependent or beneficiary thereof) of the Company or any of its Subsidiaries or any of their ERISA Affiliates that is contributed to, sponsored or maintained by the Company or any of its Subsidiaries or pursuant to which the Company or any of its Subsidiaries has any obligation or liability (whether actual or contingent) other than any plan, policy, program, or arrangement which is required to be maintained by applicable Law. With respect to each material Company Benefit Plan, the Company has made available to Parent correct and complete copies of, in each case, to the extent applicable, (i) the most recent plan document and any amendments thereto (or, in the case of any unwritten Company Benefit Plan, a written description of the material terms thereof), the most recent summary plan description and any summaries of material modifications thereto, and the most recent trust agreement and any amendments thereto, (ii) the three (3) most recent Form 5500 annual reports, (iii) the three (3) most recent audited financial statements and actuarial valuations, (iv) all material filings and non-routine correspondence with any Governmental Entity made or received within the last three (3) years, (v) all material related insurance contracts and policies which implement each such Company Benefit Plan, and (vi) the most recent determination, advisory or opinion letter received from the IRS with respect to any Company Benefit Plan intended to be qualified under Section 401(a) of the Code. Neither the Company nor any of its Subsidiaries has made any commitment to establish or enter into any new plan, agreement or arrangement that would be a Company Benefit Plan if in effect on the date hereof or to modify any Company Benefit Plan (except to the extent required by Law or to the extent such actions shall not cause a material increase in cost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(i) no liability under Title IV of ERISA has been incurred by the Company, its Subsidiaries or any of their respective ERISA Affiliates, and to the Knowledge of the Company no condition exists that is likely to cause the Company, its Subsidiaries or any of their ERISA Affiliates to incur any such liability; and (ii) all contributions or other material amounts payable by the Company or its Subsidiaries pursuant to each Company Benefit Plan in respect of current or prior plan years have been timely paid or accrued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Benefit Plan is, and none of the Company, its Subsidiaries, or any of their respective ERISA Affiliates contributes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(within the meaning of Section 413(c) of the Code), (iv) a multiple employer welfare arrangement (within the meaning of Section 3(40) of ERISA), or (v) a voluntary employee benefit association under Section 501(a)(9)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Company Benefit Plan provides material benefits, including death or medical benefits (whether or not insured), with respect to current or former Service Providers beyond their retirement or other termination of service, other than coverage mandated by the Consolidated Omnibus Budget Reconciliation Act of 1985, as amended, or comparable U.S.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(i) each of the Company Benefit Plans that is intended to be “qualified” within the meaning of Section 401(a) of the Code has received a favorable determination letter or opinion letter as to its qualification and (ii) to the Knowledge of the Company, there are no existing circumstances or any events that would reasonably be expected to adversely affect the qualified status of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individually or in the aggregate, a Company Material Adverse Effect, (i) each Company Benefit Plan has been maintained, in all respects, in compliance with its terms and all Laws, (ii) no fiduciary (within the meaning of Section 3(3) of ERISA) with respect to any Company Benefit Plan has breached their fiduciary duties with respect thereto, and (iii) no “prohibited transaction,” within the meaning of Section 4975 of the Code or Sections 406 and 407 of ERISA, and not otherwise exempt under Section 408 of ERISA, has occurred with respect to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there are no Proceedings pending or, to the Knowledge of the Company, threatened or reasonably anticipated (other than routine claims for benefits) against any Company Benefit Plan, or against any fiduciary or the assets thereof, and no Company Benefit Plan (or fiduciary thereof) is subject to any outstanding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execution and delivery of this Agreement nor the consummation of the Transactions (either alone or in conjunction with any other event) could, (i) cause any payment to become due to any current or former Service Provider under any Company Benefit Plan or otherwise, (ii) materially increase any compensation or benefits otherwise payable to any current or former Service Provider under any Company Benefit Plan, (iii) result in any acceleration of the time of payment, funding or vesting of any such compensation or benefits, or (iv) result in any breach or violation of, or default under or limit the Company’s right to amend, modify, terminate or transfer the assets of,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execution and delivery of this Agreement nor the consummation of the Transactions (either alone or in conjunction with any other event) could result in any payment (whether in cash or property or the vesting of property) to any “disqualified individual” (as such term is defined in Treasury Regulations Section 1.280G-1) that could, individually or in combination with any other such payment, constitute an “excess parachute payment” (as defined in Section 280G(b)(1)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is party to any “gross up” agreement with any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Company Material Adverse Effect, no compensation has been or would reasonably be expected to be includable in the gross income of any Service Provider under or by the operation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is a party to or has any obligation to gross up, indemnify or otherwise reimburse any Person for excise Taxes, interest or penalties payable pursuant to Section 4999 of the Code or for additional Taxes, interest or penalties payable pursuant to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bound by any collective bargaining agreement or other Contract with a labor union, works council, or similar labor organization (a “</w:t>
      </w:r>
      <w:r>
        <w:rPr>
          <w:rFonts w:ascii="Times New Roman;Times;Serif" w:hAnsi="Times New Roman;Times;Serif"/>
          <w:b w:val="false"/>
          <w:i w:val="false"/>
          <w:caps w:val="false"/>
          <w:smallCaps w:val="false"/>
          <w:sz w:val="20"/>
          <w:u w:val="single"/>
        </w:rPr>
        <w:t>Labor Agreement</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neither the Company nor any of its Subsidiaries is, or within the last three (3) years has been, subject to a pending or, to the Knowledge of the Company, a threatened labor strike, concerted work stoppage, walkout or lockout, or other similar material labor dispute. To the Knowledge of the Company, there are no, and within the last three (3) years there have not been, any pending or threatened union organizing activity or labor organizations representing or purporting to represent or seeking to represent the employees employed by the Company or any of its Subsidiaries. To the Knowledge of the Company, within the last three (3) years there have been no organizational campaigns, certification petitions with the National Labor Relations Board, or other unionization activities with respect to the formation of a collective bargaining unit made or threatened involving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w:t>
      </w:r>
      <w:r>
        <w:rPr>
          <w:rFonts w:ascii="Times New Roman;Times;Serif" w:hAnsi="Times New Roman;Times;Serif"/>
          <w:b w:val="false"/>
          <w:i w:val="false"/>
          <w:caps w:val="false"/>
          <w:smallCaps w:val="false"/>
          <w:sz w:val="20"/>
          <w:shd w:fill="FFFFFF" w:val="clear"/>
        </w:rPr>
        <w:t>, since October 1, 2023,</w:t>
      </w:r>
      <w:r>
        <w:rPr>
          <w:rFonts w:ascii="Times New Roman;Times;Serif" w:hAnsi="Times New Roman;Times;Serif"/>
          <w:b w:val="false"/>
          <w:i w:val="false"/>
          <w:caps w:val="false"/>
          <w:smallCaps w:val="false"/>
          <w:sz w:val="20"/>
        </w:rPr>
        <w:t xml:space="preserve"> (i) to the Knowledge of the Company, no allegations of harassment, discrimination, sexual assault or sexual misconduct have been made involving any current or former employee at the level of Vice President at the corporate level or above, and (ii) neither the Company nor any of its Subsidiaries have entered into any settlement agreements to resolve allegations of harassment, discrimination, sexual assault or sexual misconduct by any current or former employee at the level of Vice President at the corporate level 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has any material liability for (i) any unpaid wages, salaries, wage premiums, commissions, bonuses, fees, or other compensation that have become due and payable to their current or former directors, officers, employees and individual independent contractors under applicable Law, Contract or policy of the Company or any of its Subsidiaries, and/or (ii) any outstanding fines, Taxes, interest, or other penalties for any failure to pay or delinquency in paying such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the past six months: neither the Company nor any of its Subsidiaries has implemented a “mass layoff” or “plant closing” (as defined by WARN or similar state or local Law) affecting any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all employees of the Company who work in the United States are authorized and have appropriate documentation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Except as has not had and would not reasonably be expected to have, individually or in the aggregate, a Company Material Adverse Effect, the Company and its Subsidiaries (i) are in compliance with all Environmental Laws and (ii) have obtained, maintain and timely applied for all Company Permits required under any Environmental Law (“</w:t>
      </w:r>
      <w:r>
        <w:rPr>
          <w:rFonts w:ascii="Times New Roman;Times;Serif" w:hAnsi="Times New Roman;Times;Serif"/>
          <w:b w:val="false"/>
          <w:i w:val="false"/>
          <w:caps w:val="false"/>
          <w:smallCaps w:val="false"/>
          <w:sz w:val="20"/>
          <w:u w:val="single"/>
          <w:shd w:fill="FFFFFF" w:val="clear"/>
        </w:rPr>
        <w:t>Environmental Permits</w:t>
      </w:r>
      <w:r>
        <w:rPr>
          <w:rFonts w:ascii="Times New Roman;Times;Serif" w:hAnsi="Times New Roman;Times;Serif"/>
          <w:b w:val="false"/>
          <w:i w:val="false"/>
          <w:caps w:val="false"/>
          <w:smallCaps w:val="false"/>
          <w:sz w:val="20"/>
          <w:shd w:fill="FFFFFF" w:val="clear"/>
        </w:rPr>
        <w:t>”) and the Company and its Subsidiaries are, and since October 1, 2023 have been, in compliance with such Environmental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Except as has not had and would not reasonably be expected to have, individually or in the aggregate, a Company Material Adverse Effect, (i) there are no and there have been no Releases of Hazardous Substances with respect to Owned Real Property or Leased Real Property or any other location (including any other currently or formerly owned, leased or operated property or location used for the treatment, storage, disposal, recycling or other handling of Hazardous Substances), (ii) neither the Company nor any of its Subsidiaries has arranged, by written contract, agreement or otherwise, for the treatment, storage, transportation or disposal of Hazardous Substances, and (iii) no Hazardous Substances are present at, on, in or under any property currently or formerly owned, operated or leased by the Company or any of its Subsidiaries, that would result in an Environmental Claim against or liability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no Environmental Claim, nor any third-party environmental investigation, is pending or threatened, alleging non-compliance by the Company or any of its Subsidiaries with respect to any Environmental Law or Environmental Permit or otherwise concerning or relating to the operations of the Company or any of its Subsidiaries that seeks to impose, or that is reasonably likely to result in the imposition of, any liability arising under any Environmental Law upon the Company or any of its Subsidiaries, and (ii) there are no liabilities of or relating to the Company or any of its Subsidiaries arising under or relating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neither the execution of this Agreement nor the consummation of the Transactions will require any investigation or remediation activities or notice to or consent of any Governmental Entity or third party pursuant to any Environmental Law or with respect to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have made available to Parent all non-privileged environmental audits and reports completed within three years of the date of this Agreement that are material to the Company and its Subsidiaries, taken as a whole, relating to the Company’s current material properties, facilities or operations (including any material property, facility or operation owned within the last three years and any property that Company or its Subsidiaries have foreclosed within the last three years or are in the process of foreclosing on) which are in their possession, in each case, to the extent that such audits, reports and other material environmental documents disclose the presence or suspected presence of Hazardous Substances on, at, or under the land, or in underlying soil or groundwater, that would be reasonably expected to result in an Environmental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Real Property; Title to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 with respect to the real property owned by the Company, any of its Subsidiaries or any Joint Venture (such property collectively,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(i) either the Company, one of its Subsidiaries or a Joint Venture has good and valid title to such Owned Real Property, free and clear of all Liens other than Real Estate Permitted Liens, (ii) there are no reversion rights, outstanding options or rights of first refusal in favor of any other Person to purchase, lease, occupy or otherwise utilize such Owned Real Property or any portion thereof or interest therein that would reasonably be expected to materially adversely affect the value of the Owned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Owned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Owned Real Property are available to the boundaries of the Owned Real Property and are connected and operating pursuant to valid permits, or, with respect to Owned Real Property under development, will be available upon completion of development in accordance with applicable development plans and entitlements.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Owned Real Property, except for dedications of roads or rights-of-way made as a result of the zoning, platting or development plans for such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with respect to the real property subject to a Land Bank Contract or a Contract Development Parcel (such property collectively, the “</w:t>
      </w:r>
      <w:r>
        <w:rPr>
          <w:rFonts w:ascii="Times New Roman;Times;Serif" w:hAnsi="Times New Roman;Times;Serif"/>
          <w:b w:val="false"/>
          <w:i w:val="false"/>
          <w:caps w:val="false"/>
          <w:smallCaps w:val="false"/>
          <w:sz w:val="20"/>
          <w:u w:val="single"/>
        </w:rPr>
        <w:t>Development Real Property</w:t>
      </w:r>
      <w:r>
        <w:rPr>
          <w:rFonts w:ascii="Times New Roman;Times;Serif" w:hAnsi="Times New Roman;Times;Serif"/>
          <w:b w:val="false"/>
          <w:i w:val="false"/>
          <w:caps w:val="false"/>
          <w:smallCaps w:val="false"/>
          <w:sz w:val="20"/>
        </w:rPr>
        <w:t>”), (i) either the Company, one of its Subsidiaries or a Joint Venture has a good and valid contract to acquire such Development Real Property, free and clear of all Liens other than Real Estate Permitted Liens, (ii) there are no reversion rights, outstanding options or rights of first refusal in favor of any other Person to purchase, lease, occupy or otherwise utilize such Development Real Property or any portion thereof or interest therein that would reasonably be expected to materially adversely affect the value of the Development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Development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Development Real Property are or will be available to the boundaries of the Development Real Property prior to acquisition of the Development Real Property and are or will be connected and operating pursuant to valid permits, or, with respect to Development Real Property under development, will be available upon completion of development in accordance with applicable development plans and entitlements. Except as has not had and would not reasonably be expected to have, individually or in the aggregate, a Company Material Adverse Effect,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Development Real Property, except for dedications of roads or rights-of-way made as a result of the zoning, platting or development plans for such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each lease, sublease, license, easement and other agreement under which the Company or any of its Subsidiaries uses or occupies or has the right to use or occupy any real property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each such lease, sublease, license, easement or other agreement, a “</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is valid, binding and in full force and effect, subject to application of any bankruptcy or other creditor’s rights laws and (ii) no uncured default on the part of the Company or, if applicable, a Subsidiary of the Company or, to the Knowledge of the Company, the landlord or other parties to such Company Lease exists or will exist with the giving of notice, the passage of time or both. Except as has not had and would not reasonably be expected to have, individually or in the aggregate, a Company Material Adverse Effect, the Company and each of its Subsidiaries has a good and valid leasehold interest, subject to the terms of any Company Lease applicable thereto, in all Leased Real Property, free and clear of all Liens, except for (I) Real Estate Permitted Liens and (II) conditions, covenants, encroachments, easements, restrictions and other encumbrances that do not adversely affect the use of the Leased Real Property by the Company or any Subsidiary of the Company. Neither the Company nor any of its Subsidiaries has (x) received written notice of any pending, and to the Knowledge of the Company there is no pending or threatened in writing, material condemnation or eminent domain proceeding with respect to any Leased Real Property, (y) collaterally assigned or granted a security interest in the Leased Real Property except for Real Estate Permitted Liens and other Liens that were discharged in full prior to the date of this Agreement, or (z) received any written notice of any material default under a Company Lease and, to the Knowledge of the Company, no event has occurred and no condition exists that, with notice or lapse of time, or both, would constitute a material default by the Company or any of its Subsidiaries, as applicable, under any Company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and except as budgeted for or contemplated in projections of future lot cost basis reflected in the budgets and projections made available to Parent, to the Knowledge of the Company, no Owned Real Property or Development Real Property is subject to any condition or obligation to any Governmental Entity or other Person requiring the owner or any transferee thereof to donate land, money, or other property or to make off-site public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all of the residential dwellings (which, for the avoidance of doubt, include residential homes, townhomes and condominium units), whether construction in process or complete, together with the associated lot (the “</w:t>
      </w:r>
      <w:r>
        <w:rPr>
          <w:rFonts w:ascii="Times New Roman;Times;Serif" w:hAnsi="Times New Roman;Times;Serif"/>
          <w:b w:val="false"/>
          <w:i w:val="false"/>
          <w:caps w:val="false"/>
          <w:smallCaps w:val="false"/>
          <w:sz w:val="20"/>
          <w:u w:val="single"/>
        </w:rPr>
        <w:t>Housing Units</w:t>
      </w:r>
      <w:r>
        <w:rPr>
          <w:rFonts w:ascii="Times New Roman;Times;Serif" w:hAnsi="Times New Roman;Times;Serif"/>
          <w:b w:val="false"/>
          <w:i w:val="false"/>
          <w:caps w:val="false"/>
          <w:smallCaps w:val="false"/>
          <w:sz w:val="20"/>
        </w:rPr>
        <w:t xml:space="preserve">”), improvements, and buildings on the Owned Real Property (i) were constructed in a good and workmanlike manner, (ii) are structurally sound, (iii) are in good operating condition and repair (none of which require any maintenance or repair, except for ordinary, routine maintenance and repair that are not material in nature or cost), (iv) are in compliance with all applicable Legal Requirements, (v) are in compliance with all set-backs, zoning laws, restrictive covenants, and other restrictions in the nature thereof, and (vi) are located within the boundary lines of the Owned Real Property and do not encroach upon the land of any adjacent owner (nor do any Housing Units, buildings, or improvements of any other Person encroach upon the Owned Real Property), in each case, except as would not reasonably be expected to result in a material liability to the Company or any of its Subsidiaries. None of Company and each Subsidiary of the Company has received written notice that there is any material defect in or about the Housing Units, buildings, or improvements located on the Owned Real Property or any portion thereof. For purposes of this </w:t>
      </w:r>
      <w:r>
        <w:rPr>
          <w:rFonts w:ascii="Times New Roman;Times;Serif" w:hAnsi="Times New Roman;Times;Serif"/>
          <w:b w:val="false"/>
          <w:i w:val="false"/>
          <w:caps w:val="false"/>
          <w:smallCaps w:val="false"/>
          <w:sz w:val="20"/>
          <w:u w:val="single"/>
        </w:rPr>
        <w:t>Section 3.13(e)</w:t>
      </w:r>
      <w:r>
        <w:rPr>
          <w:rFonts w:ascii="Times New Roman;Times;Serif" w:hAnsi="Times New Roman;Times;Serif"/>
          <w:b w:val="false"/>
          <w:i w:val="false"/>
          <w:caps w:val="false"/>
          <w:smallCaps w:val="false"/>
          <w:sz w:val="20"/>
        </w:rPr>
        <w:t>, “material defect” means any defect for which the cost to repair or restore such defect would reasonably be expected to exceed $50,000 as to any individual Housing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be material to the Company and its Subsidiaries, taken as a whole, no developer-related fees, charges, community development district assessments, or other assessments for public improvements or otherwise made against the Owned Real Property, the Development Real Property, or any lots included within the Owned Real Property or the Development Real Property are currently due and unpaid, including those for construction of sewer lines, water lines, storm drainage systems, electric lines, natural gas lines, and streets (including perimeter streets), roads and curbs, other than as may be required in the ordinary course of completing such project. Except as has not had and would not reasonably be expected to have, individually or in the aggregate, a Company Material Adverse Effect, excluding water and sewer tap fees and excluding building permit fees to be paid when future building permits are pulled, the Company, or the applicable Subsidiary, has paid in full all Taxes, Permits, subdivision assessments, homeowners’ association fees, condominium association fees, community development districts assessments, and other fees and assessments that relate to the Owned Real Property or the Development Real Property for periods prior to the Closing that are due and payable prior to or as of the Closing Date, and, to the Knowledge of the Company, has not received any written notice of increase, assessment, levy, or penalty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to the Knowledge of the Company, none of the Owned Real Property or Development Real Property is located within a one hundred (100) year flood plain as identified by the Federal Emergency Management Agency that will affect the installation of a building pad or the construction of a Residential Unit on such Owned Real Property or Development Real Property consistent with the plans being used or proposed to be used by the Company or any Subsidiary of the Company in the applicable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Company Material Adverse Effect, no judgment, injunction, order, decree, statute, ordinance, rule, regulation, moratorium, or other action by or before a Governmental Entity exists or is pending or threatened in writing that restricts or would restrict the development or sale of Owned Real Property or Development Real Property or the development and construction of residential homes thereon, including, without limitation, any moratorium or rezoning action applicable to any of the Owned Real Property or Contract Property that would prohibit (i) the issuance of building permits for the construction of houses, or certificates of occupancy therefor, (ii) the purchase of sewer or water taps, (iii) the issuance of subdivision approvals, or (iv) the issuance of development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developer-related charges or assessments imposed by any Governmental Entity (or any other Person) for public improvements (or otherwise) against any Owned Real Property or Development Real Property, are unpaid (other than those reflected on the most recent Company SEC Financial Statements, and those incurred since the date of such Company SEC Financial Statements to the extent in the ordinary course of the Company’s business and consistent with past practice), except for such charges and assessments as have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are no parties, other than the Company, any of its Subsidiaries or Joint Ventures, in possession of any portion of the Owned Real Property, and as of the date of the Agreement, other than in the ordinary course of business, none of the Company, any of its Subsidiaries or any Joint Venture has granted any Person any right to (i) purchase or acquire (other than pursuant to Home Sale Contracts entered into in the ordinary course of business) all or any portion of the Owned Real Property or the Contract Property, or (ii) use all or any portion of, the Owned Real Property or (with the exception of the seller thereof) the Contract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or one of its Subsidiaries has good and valid title to, or in the case of leased tangible assets, a valid leasehold interest in, all of its material tangible personal property, free and clear of all Liens other than Permitted Liens. Except as has not had and would not reasonably be expected to have, individually or in the aggregate, a Company Material Adverse Effect, the tangible personal property currently used in the operation of the business of the Company and its Subsidiaries is in good working order (reasonable wear and tear excepted) and is sufficient for the conduct of the business of the Company and its Subsidiaries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have timely filed (taking into account any valid extension of time within which to file) all Tax Returns that are required to be filed by or with respect to any of them, and all such Tax Returns are true, correct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Company and its Subsidiaries have timely paid in full to the appropriate Governmental Entity all Taxes required to be paid by any of them, whether or not shown on any Tax Returns, except to the extent any Taxes are being contested in good faith through appropriate proceedings and for which the financial statements of the Company and its Subsidiaries reflect adequate reserves, in accordance with GAAP, and (ii) there is no outstanding waiver or extension of any statute of limitations with respect to the assessment or collection of Taxes from the Company or any of its Subsidiaries which would remain in effect beyond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Subsidiaries have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otherwise complied with all applicable Laws relating to the payment, withholding, collection and remittance of Taxes (including information reporting requirements). All Persons engaged as employees or independent contractors by the Company or any of its Subsidiaries are properly classified as employees or independent contractors, as applicable, in accordance with the Code and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(i) Proceeding with respect to any Taxes of the Company or any Subsidiary that is pending or threatened in writing by any Governmental Entity, or (ii) deficiency for Taxes that has been assessed by any Governmental Entity against the Company or any of its Subsidiaries (and has not been fully satisfied and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Within the last two (2) years</w:t>
      </w:r>
      <w:r>
        <w:rPr>
          <w:rFonts w:ascii="Times New Roman;Times;Serif" w:hAnsi="Times New Roman;Times;Serif"/>
          <w:b w:val="false"/>
          <w:i w:val="false"/>
          <w:caps w:val="false"/>
          <w:smallCaps w:val="false"/>
          <w:sz w:val="20"/>
        </w:rPr>
        <w:t>, neither the Company nor any of its Subsidiaries has been either a “distributing corporation” or a “controlled corporation” within the meaning of Section 355(a)(1)(A) of the Code in a distribution qualifying (or intended to qualify) under Section 355 of the Code (or so much of Section 356 as relates to Section 355).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or any of its Subsidiaries (i) is or has been a member of any affiliated, consolidated, combined, unitary, group relief or similar group for purposes of filing Tax Returns or paying Taxes (other than a group the common parent of which is the Company or any of its Subsidiaries) for any taxable period, (ii) is or has been a party to or bound by, or has any obligation under, any Tax allocation, sharing, indemnity, or reimbursement agreement or arrangement (other than any customary Tax indemnification provisions in commercial agreements not primarily related to Taxes, and other than any agreement or arrangement solely among the Company and its Subsidiaries), or (iii) has any liability for Taxes of any Person (other than the Company or any of its Subsidiaries) under Treasury Regulations Section 1.1502-6 (or any similar provision of state, local, or non-U.S. Law) or as transferee or successor or otherwise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Liens in respect of or on account of Taxes upon any property or assets of the Company or any of its Subsidiaries,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claim has been made in writing by any Tax authority in a jurisdiction where the Company or any of its Subsidiaries has not filed Tax Returns or paid Taxes that the Company or any of its Subsidiaries is or may be subject to Tax by, or required to file Tax Returns in, such jurisdiction. Neither the Company nor any of its Subsidiaries is or has been subject to Tax in any jurisdiction other than its jurisdiction of incorporation by virtue of having a permanent establishment or other taxable presence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is or will be required to include any item of income in, or exclude any item of deduction from, taxable income for any taxable period (or portion thereof) beginning after the Closing Date as a result of any (i) change in method of accounting or adjustment pursuant to Section 481 or Section 263A of the Code (or any similar or analogous provision of state, local, or non-U.S. Law) for a taxable period ending on or before the Closing Date, (ii) installment sale, intercompany transaction, or open transaction made or entered into prior to the Closing, (iii) “excess loss account” within the meaning of the regulations under Section 1502 of the Code, existing as of immediately prior to the Closing, (iv) prepaid amount or deferred revenue received or realized at or prior to the Closing, or (v) “closing agreement” within the meaning of Section 7121(a) of the Code (or any similar or analogous provision of state, local or non-U.S. Law) entered into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rulings, administrative reliefs, requests for rulings or administrative relief, closing agreements or other written agreements, in each case with respect to Taxes, have been entered into with or issued by, or are requested or pending with, any Governmental Entity with respect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participated in any “listed transaction” within the meaning of Treasury Regulations Section 1.6011-4(b)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this Agreement and the Company Benefit Plans (which, for the Company Benefit Plans, shall not apply to </w:t>
      </w:r>
      <w:r>
        <w:rPr>
          <w:rFonts w:ascii="Times New Roman;Times;Serif" w:hAnsi="Times New Roman;Times;Serif"/>
          <w:b w:val="false"/>
          <w:i w:val="false"/>
          <w:caps w:val="false"/>
          <w:smallCaps w:val="false"/>
          <w:sz w:val="20"/>
          <w:u w:val="single"/>
        </w:rPr>
        <w:t>Section 3.15(x)(v)</w:t>
      </w:r>
      <w:r>
        <w:rPr>
          <w:rFonts w:ascii="Times New Roman;Times;Serif" w:hAnsi="Times New Roman;Times;Serif"/>
          <w:b w:val="false"/>
          <w:i w:val="false"/>
          <w:caps w:val="false"/>
          <w:smallCaps w:val="false"/>
          <w:sz w:val="20"/>
        </w:rPr>
        <w:t xml:space="preserve">), Section 3.15 of the Company Disclosure Schedule contains a complete and correct list of each Contract described below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to which the Company or any of its Subsidiaries is a party or bound, in each case as of the date of this Agreement (all Contracts of the type required to be disclosed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whether or not set forth in Section 3.15 of the Company Disclosure Schedule, being referred to herein as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Contract that limits in any material respect the freedom of the Company, any of its Subsidiaries or any of their respective affiliates (including Parent and its affiliates after the Effective Time) to (A) compete or engage (x) in any line of business, (y) in any geographic region or (z) with any Person or (B) sell, supply or distribute any product or service, build on or acquire real property, use or enforce any Owned Company IP or Intellectual Property Rights exclusively licensed to the Company or any of its Subsidiaries, or hire or solicit any Person in any manner that, in each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has the effect of restricting in any material respect the Company, its Subsidiaries or any of their respective affiliates (including Parent and its affiliates after the Effective Time) from the development, marketing or distribution of products and services, in each case, in any geographic area, and in each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other than customary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partnership, joint venture, strategic alliance, or similar Contract that provides for the sharing of revenues or profits (other than any such agreements solely between or among the Company and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acquisition or divestiture Contract that contains representations, covenants, indemnities or other obligations (including “earnout” or other contingent payment obligations) that would reasonably be expected to result in the receipt or making by the Company or any of its Subsidiaries of future payments thereunder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that gives any Person the right to acquire any equity interests, business or material assets of the Company or any of its Subsidiaries (excluding Real Estate Purchase Agreements, any other Contracts executed in connection therewith in the ordinary course of business consistent with past practice and other ordinary course commitments to acquire or dispose of real property, including individual homes, lots, inventory, products, goods, services, supplies, equipment or off-the-shelf technology, Contracts relating to the joint acquisition of real property and Contracts that give any Person a right to or interest in the proceeds of sale of any real property), including any Contracts containing any right of first refusal or right of first offer or Contract that limits the ability of the Company, any of its Subsidiaries or any of their respective affiliates (including Parent and its affiliates after the Effective Time) to own, operate, sell, transfer, pledge or otherwise dispose of any of their equity interests, businesses or material assets after the date of this Agreement, in each case, with consideration of more than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Contract that: (i) provides for the authorship, invention, creation, conception or other development of any material Intellectual Property or Intellectual Property Rights (A) by the Company or a Subsidiary of the Company for any other Person or (B) for the Company or Subsidiary of the Company by any other Person (excluding agreements with employees, independent contractors, engineering firms (or engineers), architectural firms (or architects) or similar professional enterprises); (ii) provides for the assignment or other transfer of any ownership interest in material Intellectual Property or Intellectual Property Rights (A) to the Company from any other Person (excluding agreements with employees, independent contractors, engineering firms (or engineers), architectural firms (or architects) or similar professional enterprises) or (B) by the Company to any other Person; (iii) includes any grant of an Intellectual Property License to any other Person by the Company (other than, with respect to this subsection (iii), non-exclusive licenses granted to customers, contractors, consultants, engineering firms (or engineers), architectural firms (or architects) or similar professional enterprises in the ordinary course of business); or (iv) includes any grant of an Intellectual Property License by any other Person (other than, with respect to this subsection (iv) only, Intellectual Property Licenses for off-the-shelf Software and other Software that is generally commercially available on standard terms, and non-exclusive licenses granted by customers, contractors, consultants, engineering firms (or engineers), architectural firms (or architects) or similar professional enterprises or other vendors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settlement agreement or similar Contract (excluding any customary non-disclosure agreement) that (A)(x) imposes material obligations on the Company and its Subsidiaries after the date of this Agreement (for the avoidance of doubt, other than customary confidentiality obligations) or (y) involves payments after the date of this Agreement in excess of $1,000,000 or (B) is with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each Contract not otherwise described in any other subsection of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pursuant to which the Company or any of its Subsidiaries is obligated, in accordance with the terms thereof, to pay, or entitled to receive, payments in excess of $5,000,000 in the twelve (12) month period immediately following the date of this Agreement, excluding Real Estate Purchase Agreements or any other Contracts that are expressly excluded from disclosure under any other category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Contract that obligates the Company or any of its Subsidiaries to make any capital investment or capital expenditure, in each case (other than in respect of purchases of real property) outside the ordinary course of business and in excess of $1,000,000 per annum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Contract that is a Material Supplier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Contract that contains any exclusivity rights or “most favored nations” provisions or minimum use or supply requirements, in each case, for the benefit of the applicable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Affiliate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Contract providing for indemnification of any officer, director or employee of the Company or any of its Subsidiaries by the Company or any of its Subsidiaries, other than Contracts entered into on substantially the same form as the standard forms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Contract creating (A) outstanding indebtedness for borrowed money (including debt securities) (or commitments in respect thereof), (B) obligations under forward currency exchanges, interest rate protection agreements, swap agreements or hedging arrangements, (C) obligations (as lessee) that are, or pursuant to GAAP, should be, recorded as capital or finance leases or (D) obligations similar to any of the foregoing, in each case, of the Company or of its Subsidiaries (whether incurred, assumed, guaranteed or secured by any asset), in an amount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each guaranty of any obligation made by the Company or any of its Subsidiaries on behalf of any Person other than the Company or any of its Subsidiaries, which could result in an amount owed in excess of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each Contract with any Service Provider providing annual base compensation opportunities in excess of $250,000 or that would otherwise entitle any such Service Provider with post-termination benefits the value of which exceeds $250,000, in each case, excluding commission opportunities and commission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each Labor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any Contract not otherwise described in any other subsection of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that would constitute a “material contract” (as such term is defined in Item 601(b)(10) of Regulation S-K promulgated by the SEC, other than those agreements and arrangements described in Item 601(b)(10)(iii) of Regulation S-K) with respect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correct and complete copies of each Material Contract in effect as of the date of this Agreement have been made available to Parent or publicly filed with the SEC prior to the date of this Agreement. None of the Company or any of its Subsidiaries is in (or with the passage of time or the giving of notice or both would be in) breach of or default under the terms of any Material Contract, except as has not had and would not reasonably be expected to have, individually or in the aggregate, a Company Material Adverse Effect. To the Knowledge of the Company, as of the date of this Agreement, except as has not had and would not reasonably be expected to have, individually or in the aggregate, a Company Material Adverse Effect, (i) no other party to any Material Contract is in breach of or default under the terms of any Material Contract and (ii) each party to any Material Contract has performed all obligations required to be performed by it under such Contract. Except as has not had and would not reasonably be expected to have, individually or in the aggregate, a Company Material Adverse Effect, each Material Contract is a valid, binding and enforceable obligation of the Company or its Subsidiary which is party thereto and of each other party thereto, and, to the Knowledge of the Company, is in full force and effect,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Suppliers</w:t>
      </w:r>
      <w:r>
        <w:rPr>
          <w:rFonts w:ascii="Times New Roman;Times;Serif" w:hAnsi="Times New Roman;Times;Serif"/>
          <w:b w:val="false"/>
          <w:i w:val="false"/>
          <w:caps w:val="false"/>
          <w:smallCaps w:val="false"/>
          <w:sz w:val="20"/>
        </w:rPr>
        <w:t>. Section 3.16 of the Company Disclosure Schedule sets forth a list of the top ten (10) suppliers and vendors (including subcontractors and excluding legal service providers and investment bankers) of the Company and its Subsidiaries, taken as a whole, measured by the aggregate amounts paid by the Company and its Subsidiaries to such supplier or vendor and its affiliates during the 12-month period ended March 31, 2026 (each, a “</w:t>
      </w:r>
      <w:r>
        <w:rPr>
          <w:rFonts w:ascii="Times New Roman;Times;Serif" w:hAnsi="Times New Roman;Times;Serif"/>
          <w:b w:val="false"/>
          <w:i w:val="false"/>
          <w:caps w:val="false"/>
          <w:smallCaps w:val="false"/>
          <w:sz w:val="20"/>
          <w:u w:val="single"/>
        </w:rPr>
        <w:t>Material Supplier</w:t>
      </w:r>
      <w:r>
        <w:rPr>
          <w:rFonts w:ascii="Times New Roman;Times;Serif" w:hAnsi="Times New Roman;Times;Serif"/>
          <w:b w:val="false"/>
          <w:i w:val="false"/>
          <w:caps w:val="false"/>
          <w:smallCaps w:val="false"/>
          <w:sz w:val="20"/>
        </w:rPr>
        <w:t>” and each Contract pursuant to which the Company or a Subsidiary of the Company paid those amounts to the applicable Material Supplier, a “</w:t>
      </w:r>
      <w:r>
        <w:rPr>
          <w:rFonts w:ascii="Times New Roman;Times;Serif" w:hAnsi="Times New Roman;Times;Serif"/>
          <w:b w:val="false"/>
          <w:i w:val="false"/>
          <w:caps w:val="false"/>
          <w:smallCaps w:val="false"/>
          <w:sz w:val="20"/>
          <w:u w:val="single"/>
        </w:rPr>
        <w:t>Material Supplier Agreement</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neither the Company nor any of its Subsidiaries has received any written or, to the Knowledge of the Company, oral notice or, to the Knowledge of the Company, has any reason to reasonably believe that there has been any material adverse change in the price of the supplies or services provided by any Material Supplier or that such Material Supplier intends to terminate, modify (including materially decrease its business with the Company or its Subsidiaries) or not renew existing Contracts with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made available to Parent true and correct copies of all material Insurance Policies. As of the date of this Agreement, except as has not had and would not reasonably be expected to have, individually or in the aggregate, a Company Material Adverse Effect, (a) the Company and its Subsidiaries are insured with reputable insurers against such risks and in such amounts as are customary for companies of similar size in the same or similar lines of business as the Company and its Subsidiaries, (b) the Company and its Subsidiaries are, and since October 1, 2023 have been, in compliance with their respective Insurance Policies and Contracts and are not in default under any of the terms thereof, (c) all current Insurance Policies and insurance Contracts of the Company and its Subsidiaries are in full force and effect and are valid and enforceable, (d) all premiums due thereunder have been paid in accordance with the agreed premium payment terms and (e) neither the Company nor any of its Subsidiaries has received written or, to the Knowledge of the Company, oral notice of cancellation or termination with respect to any current Insurance Policies or insurance Contracts (other than in connection with normal renewals of any such insurance policies or Contracts). With respect to each material Proceeding that has been filed against the Company since October 1, 2023, any liability with respect to which is covered by an Insurance Policy, to the Knowledge of the Company, the Company has provided written notice of such Proceeding to the appropriate insurance carrier(s) (if any and if required to do so) and no such carrier has issued a denial of coverage with respect to any such Proceeding, in each case,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3.18(a) of the Company Disclosure Schedule sets forth a complete and accurate list, as of the date of this Agreement, of all Registered Company Intellectual Property Rights, indicating for each: (y) the application or registration number, title, owners or registrants, and the jurisdiction of filing or application; and (z) the status of such item. Except as has not had and would not reasonably be expected to have, individually or in the aggregate, a Company Material Adverse Effect, all Registered Company Intellectual Property Rights have been maintained effective by the filing of all necessary documents and certificates currently due for filing as of the date of this Agreement in connection with any such Registered Company Intellectual Property Rights and the timely payment of all requisite fees with the relevant patent, copyright, trademark or other authorities in the United States or foreign jurisdictions,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all Owned Company IP is valid, enforceable, subsisting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or one of its Subsidiaries (i) is the sole and exclusive owner of all right, title and interest in and to all Owned Company IP, free and clear of all Liens, other than Permitted Liens and (ii) except as has not had and would not reasonably be expected to have, individually or in the aggregate, a Company Material Adverse Effect, has the right to use pursuant to a valid license, all Licensed IP used in or necessary for the conduct and operation of the business of the Company and its Subsidiaries as currently conducted. Except as has not had and would not reasonably be expected to have, individually or in the aggregate, a Company Material Adverse Effect, all Owned Company IP and the Licensed IP are, and immediately following the Closing will be, subject to any Permitted Liens, fully transferable, alienable and licensable by the Company and its Subsidiaries without restriction and without payment of any kind to any third Person (other than payments under Contracts for Licensed IP). Neither the Company nor any of its Subsidiaries has granted or transferred (or is obligated to grant or transfer) to any Person any ownership interest, including any joint ownership interest, or any exclusive rights in, any Owned Company IP. Except as has not had and would not reasonably be expected to have, individually or in the aggregate, a Company Material Adverse Effect, the Owned Company IP and the Licensed IP are all of the Intellectual Property and Intellectual Property Rights necessary for the operation of the business of the Company and its Subsidiaries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past or present director, officer, employee, consultant or independent contractor of the Company or any of its Subsidiaries owns (or has any claim or any right (whether or not currently exercisable) to any ownership interest in and to) any Owned Company IP. Except as has not had and would not reasonably be expected to have, individually or in the aggregate, a Company Material Adverse Effect, each of the Company and its Subsidiaries have entered into a binding, valid and enforceable written Contract with each current and former employee, consultant and independent contractor who is or was involved in the invention, creation, or development of any Owned Company IP, including Registered Company Intellectual Property Rights, whereby such employee or independent contractor (A) either (i) validly assigns to the Company or a Subsidiary of the Company any ownership interest such employee, consultant or independent contractor may have in or to all Intellectual Property or Intellectual Property Rights invented, created or developed by such employee, consultant or independent contractor within the scope of his or her employment or engagement, to the extent such Intellectual Property or Intellectual Property Right does not constitute a “work made for hire” under applicable Law or (ii) such Intellectual Property or Intellectual Property Rights have otherwise vested in the Company or a Subsidiary automatically by operation of applicable Law and (B) agrees to hold all Proprietary Information of the Company and its Subsidiaries in confidence.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the conduct of the business of the Company and its Subsidiaries has not, since October 1, 2023, and is not currently, infringing, violating, or misappropriating any Intellectual Property or Intellectual Property Rights of any Person or constituting unfair competition or unfair trade practices. Neither the Company nor any of its Subsidiaries has received from any Person since October 1, 2023 any written notice, charge, complaint, claim or other demand (i) alleging any infringement, violation, or misappropriation of any Intellectual Property or Intellectual Property Rights of any Person, or any claim of unfair competition or unfair trade practices or (ii) contesting the Company’s or any of its Subsidiaries’ ownership of, or the validity or enforceability of, any Owned Company IP, except as has not had and would not reasonably be expected to have, individually or in the aggregate, a Company Material Adverse Effect. To the Knowledge of the Company, no Person is infringing, misappropriating, diluting, using in an unauthorized manner or otherwise violating any Owned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have taken commercially reasonable actions to maintain (and continue to maintain), as confidential, and to reasonably protect, all material Proprietary Information (including all Trade Secrets) of the Company and any of its Subsidiaries, including by requiring all Persons having access thereto to execute written non-disclosure agreements containing customary restrictions regarding the disclosure and use of such material Proprietary Information (including all Trade Secrets). To the Knowledge of the Company, there has been no breach of any such non-disclosure agreements or any other unauthorized disclosure or use of, or access to, technology, information or materials that the Company or a Subsidiary of the Company maintains or intended to maintain as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delivery and performance of this Agreement nor the consummation of the Transactions will result in the: (i) loss or impairment of, or any Lien (other than any Permitted Lien) on, any Owned Company IP or any material Licensed IP (including material IT Systems); (ii) grant, assignment or transfer to any other Person of any license or other right or interest under, to or in any Owned Company IP or any Intellectual Property or Intellectual Property Rights of Parent or its affiliates; or (iii) payment of any additional consideration to, or the reduction of any payments from, any Person with respect to any Owned Company IP or material Licensed IP (including material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Privacy and Data Protection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 (i) since October 1, 2023, the Company and its Subsidiaries have complied with, and presently comply with, all applicable Privacy Laws, (ii) the Company and its Subsidiaries have taken commercially reasonable actions (including reasonable administrative, technical and physical safeguards) to protect Personal Information in their possession or under their control against unauthorized or unlawful access, acquisition, use, modification, disclosure or other misuse or loss, and (iii) the Company and its Subsidiaries have taken commercially reasonable steps to require all third-party service providers, outsourcers, processors or other Persons who Process, store or otherwise handle Personal Information for or on behalf of the Company or any of its Subsidiaries to comply with all applicable Privacy Laws, restrict such Persons from any use or disclosure of such Personal Information other than to provide the contracted-for services and require such Persons to take appropriate steps to protect and secure Personal Information from unauthorized or unlawful access, acquisition, use, modification, disclosure or other misuse or loss and to promptly notify the Company or its Subsidiary in the event of a breach of security of such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(i) since October 1, 2023, neither the Company nor any of its Subsidiaries has received any written notice from any Governmental Entity or other Person alleging a violation of any Privacy Laws by the Company or any of its Subsidiaries, nor has the Company or any of its Subsidiaries been threatened in writing to be charged with any such violation by any Governmental Entity or other Person; (ii) since October 1, 2023, there have not been any lawsuits, claims, inquiries, investigations, demands or other actions asserted or, to the Knowledge of the Company, threatened in writing against the Company or any of its Subsidiaries relating to Privacy Laws; and (iii) since October 1, 2023 there has been no unauthorized or unlawful access, acquisition, use, modification, disclosure or other security incident involving Personal Information or other confidential or proprietary data in the possession or under the control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the Company or one of its Subsidiaries owns or has a valid right to access and use all IT Systems material to the operation of the business of the Company and its Subsidiaries as currently conducted; (ii) the IT Systems are reasonably sufficient for the existing needs of the Company and any Subsidiary of the Company; (iii) since October 1, 2023, the Company and each of its Subsidiaries have taken commercially reasonable steps and implemented commercially reasonable safeguards (but in any event no less than is required by applicable Laws) to protect the IT Systems from Malicious Code, and the IT Systems are currently free of Malicious Code; (iv) since October 1, 2023, the Company and its Subsidiaries have taken commercially reasonable measures to provide for the back-up and recovery of Company and Subsidiary data without material disruption to, or material interruption in, the conduct of the business of the Company or any of its Subsidiaries; and (v) since October 1, 2023, the Company and its Subsidiaries have implemented and maintained commercially reasonable business continuity and disaster recovery plans, procedures and facilities that satisfy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the execution, delivery and performance of this Agreement and the consummation of the Transactions will not violate any of the privacy policies of the Company and its Subsidiaries, as they currently exist or as they existed at any time during which any of the Personal Information subject to such policy was collected or otherwise violate any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since October 1, 2023, (i) there has been no failure with respect to any IT Systems that has had a material effect on the operations of the Company or any of its Subsidiaries; and (ii) there has been no successful cyber-attack, unauthorized access to or use of (whether without authorization or in breach of an authorization) or harm to any IT Systems (or any Software or data stored on any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Neither the Company nor any of its Subsidiaries is a creditor or debtor to, or party to any Contract or transaction with, any holder of five percent (5%) or more of the Shares or any present or former director, officer, employee or affiliate of the Company or any of its Subsidiaries, or any “immediate family member” (within the meaning of Item 404 of Regulation S-K promulgated by the SEC) of any of the foregoing (each, an “</w:t>
      </w:r>
      <w:r>
        <w:rPr>
          <w:rFonts w:ascii="Times New Roman;Times;Serif" w:hAnsi="Times New Roman;Times;Serif"/>
          <w:b w:val="false"/>
          <w:i w:val="false"/>
          <w:caps w:val="false"/>
          <w:smallCaps w:val="false"/>
          <w:sz w:val="20"/>
          <w:u w:val="single"/>
        </w:rPr>
        <w:t>Affiliate Contract</w:t>
      </w:r>
      <w:r>
        <w:rPr>
          <w:rFonts w:ascii="Times New Roman;Times;Serif" w:hAnsi="Times New Roman;Times;Serif"/>
          <w:b w:val="false"/>
          <w:i w:val="false"/>
          <w:caps w:val="false"/>
          <w:smallCaps w:val="false"/>
          <w:sz w:val="20"/>
        </w:rPr>
        <w:t>”), or has engaged in any transaction with any of the foregoing since October 1, 2023, except for employment or compensation agreements or arrangements with directors, officers and employees made in the ordinary course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Other than Moelis &amp; Company LLC (“</w:t>
      </w:r>
      <w:r>
        <w:rPr>
          <w:rFonts w:ascii="Times New Roman;Times;Serif" w:hAnsi="Times New Roman;Times;Serif"/>
          <w:b w:val="false"/>
          <w:i w:val="false"/>
          <w:caps w:val="false"/>
          <w:smallCaps w:val="false"/>
          <w:sz w:val="20"/>
          <w:u w:val="single"/>
        </w:rPr>
        <w:t>Moelis</w:t>
      </w:r>
      <w:r>
        <w:rPr>
          <w:rFonts w:ascii="Times New Roman;Times;Serif" w:hAnsi="Times New Roman;Times;Serif"/>
          <w:b w:val="false"/>
          <w:i w:val="false"/>
          <w:caps w:val="false"/>
          <w:smallCaps w:val="false"/>
          <w:sz w:val="20"/>
        </w:rPr>
        <w:t>”) and J.P. Morgan Securities LLC (“</w:t>
      </w:r>
      <w:r>
        <w:rPr>
          <w:rFonts w:ascii="Times New Roman;Times;Serif" w:hAnsi="Times New Roman;Times;Serif"/>
          <w:b w:val="false"/>
          <w:i w:val="false"/>
          <w:caps w:val="false"/>
          <w:smallCaps w:val="false"/>
          <w:sz w:val="20"/>
          <w:u w:val="single"/>
        </w:rPr>
        <w:t>JPM</w:t>
      </w:r>
      <w:r>
        <w:rPr>
          <w:rFonts w:ascii="Times New Roman;Times;Serif" w:hAnsi="Times New Roman;Times;Serif"/>
          <w:b w:val="false"/>
          <w:i w:val="false"/>
          <w:caps w:val="false"/>
          <w:smallCaps w:val="false"/>
          <w:sz w:val="20"/>
        </w:rPr>
        <w:t>”), neither the Company nor any of its Subsidiaries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letters with each of Moelis and JPM (together, the “</w:t>
      </w:r>
      <w:r>
        <w:rPr>
          <w:rFonts w:ascii="Times New Roman;Times;Serif" w:hAnsi="Times New Roman;Times;Serif"/>
          <w:b w:val="false"/>
          <w:i w:val="false"/>
          <w:caps w:val="false"/>
          <w:smallCaps w:val="false"/>
          <w:sz w:val="20"/>
          <w:u w:val="single"/>
        </w:rPr>
        <w:t>Engagement Letters</w:t>
      </w:r>
      <w:r>
        <w:rPr>
          <w:rFonts w:ascii="Times New Roman;Times;Serif" w:hAnsi="Times New Roman;Times;Serif"/>
          <w:b w:val="false"/>
          <w:i w:val="false"/>
          <w:caps w:val="false"/>
          <w:smallCaps w:val="false"/>
          <w:sz w:val="20"/>
        </w:rPr>
        <w:t>”) related to the Transactions has been made available to Parent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Insurance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Charity Home Insurance Agency, LLC and Charity Title Agency, LLC (each, a “</w:t>
      </w:r>
      <w:r>
        <w:rPr>
          <w:rFonts w:ascii="Times New Roman;Times;Serif" w:hAnsi="Times New Roman;Times;Serif"/>
          <w:b w:val="false"/>
          <w:i w:val="false"/>
          <w:caps w:val="false"/>
          <w:smallCaps w:val="false"/>
          <w:sz w:val="20"/>
          <w:u w:val="single"/>
        </w:rPr>
        <w:t>Sub-Agent</w:t>
      </w:r>
      <w:r>
        <w:rPr>
          <w:rFonts w:ascii="Times New Roman;Times;Serif" w:hAnsi="Times New Roman;Times;Serif"/>
          <w:b w:val="false"/>
          <w:i w:val="false"/>
          <w:caps w:val="false"/>
          <w:smallCaps w:val="false"/>
          <w:sz w:val="20"/>
        </w:rPr>
        <w:t>”), neither the Company nor any Subsidiary of the Company is currently acting as an Insurance Producer.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each Sub-Agent holds all material licenses required for it under the applicable Insurance Laws to act as an Insurance Producer in the jurisdictions in which it so acts, and to conduct the lines of business as presently conducted as of the date of this Agreement (the “</w:t>
      </w:r>
      <w:r>
        <w:rPr>
          <w:rFonts w:ascii="Times New Roman;Times;Serif" w:hAnsi="Times New Roman;Times;Serif"/>
          <w:b w:val="false"/>
          <w:i w:val="false"/>
          <w:caps w:val="false"/>
          <w:smallCaps w:val="false"/>
          <w:sz w:val="20"/>
          <w:u w:val="single"/>
        </w:rPr>
        <w:t>Company Insurance Licenses</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to the Knowledge of the Company, each Employee Agent and Third-Party Agent who wrote, sold, produced, serviced, administered or managed insurance business for a Sub-Agent, or had substantive contact with any client or customer or prospective client, since October 1, 2023, possessed, at the time such business was written, sold, produced, serviced, administered or managed or such contact occurred, as applicable, all material licenses needed for such Person to be duly licensed or registered as required by applicable Law (for the type of business written, sold or produced, or with respect to such contact, on behalf of a Sub-Agent) in each jurisdiction in which such Employee Agent or Third-Party Agent was required to possess such license. All material Company Insurance Licenses needed for a Sub-Agent to act as an Insurance Producer in the jurisdictions in which it so acts, and to conduct the lines of business as presently conducted as of the date of this Agreement are valid and in full force and effect, and during the past twelve months there has occurred no material default by a Sub-Agent under any Company Insurance Licenses which has not been resolved to the satisfaction of the issuing Insurance Regulator, in each case, except as has not had and would not reasonably be expected to have, individually or in the aggregate, a Company Material Adverse Effect. No Governmental Entity has commenced via written notice, or given written notice to a Sub-Agent that it intends to commence, a proceeding to revoke or suspend any Company Insurance License, or given written notice that it intends not to renew any Company Insurance License, or given notice that it may issue a fine or have a Sub-Agent enter into a consent order,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to the Knowledge of the Company, each Employee Agent or Third-Party Agent who is required by applicable Law by reason of the nature of his or her employment by or relationship to a Sub-Agent, to be appointed with an Insurance Carrier Client, is currently duly appointed as such and such appointment is in full force and effect; and (ii) to the Knowledge of the Company, since October 1, 2023, each Sub-Agent has not paid any insurance commission or insurance customer lead or referral fee to any Person that was required to be licensed as an insurance agent or agency or broker or brokerage and did not hold such license when such Sub-Agent made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Subsidiary of the Company is acting as an insurer, including a captive insurer or as a premium finance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Construction Matters</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(i) there are no pending vendor recalls of which the Company has been notified or otherwise is aware of products incorporated in homes or other improvements built by or on behalf of the Company, its Subsidiaries or any Joint Venture, and (ii) none of the Company, any of its Subsidiaries nor any Joint Venture is the subject of any recalls or recall notices from any product safety commissions regarding products incorporated in homes or other improvements built by the Company, its Subsidiaries or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Opinion of Financial Advisors</w:t>
      </w:r>
      <w:r>
        <w:rPr>
          <w:rFonts w:ascii="Times New Roman;Times;Serif" w:hAnsi="Times New Roman;Times;Serif"/>
          <w:b w:val="false"/>
          <w:i w:val="false"/>
          <w:caps w:val="false"/>
          <w:smallCaps w:val="false"/>
          <w:sz w:val="20"/>
        </w:rPr>
        <w:t>. Each of Moelis and JPM has delivered to the Company Board its opinion in writing or orally, in which case, such opinion will be subsequently confirmed in writing, to the effect that, as of the date of such opinion and based upon and subject to the various assumptions, limitations, procedures followed, matters considered and qualifications set forth in each such opinion, as applicable, the Merger Consideration to be received by (or paid to, as applicable) the holders of Shares pursuant to this Agreement is fair from a financial point of view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The Company acknowledges that neither Parent, Merger Sub nor any Person on their behalf makes, and the Company has not relied upon, any express or implied representation or warranty with respect to Parent or Merger Sub or with respect to any other information provided to the Company in connection with the Transactions other than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provided in connection with this Agreement. The Company acknowledges and agrees that, to the fullest extent permitted by applicable Law, Parent and Merger Sub and their respective affiliates, stockholders, controlling Persons or Representatives shall not have any liability or responsibility whatsoever to the Company, its Subsidiaries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the Company, its Subsidiaries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provided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 delivered concurrently with the execution of this Agreement by Parent and Merger Sub to the Company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and together with the Company Disclosure Schedule, the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Parent and Merger Sub hereby represent and warrant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 Each of Parent and Merger Sub is a corporation duly organized, validly existing and in good standing under the laws of the jurisdiction of its organization and has the requisite corporate power and authority to own or lease all of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 Each of Parent and Merger Sub has all necessary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subject, in the case of the Merger, to the filing of the Certificate of Merger with the Secretary of State of the State of Delaware, and no other corporate proceedings on the part of Parent or Merger Sub and no stockholder votes (other than the vote of Parent as the sole stockholder of Merger Sub) are necessary to authorize this Agreement or the consummation by Parent and Merger Sub of the Transactions to which it is a party. Parent, as the sole stockholder of Merger Sub, has duly executed and delivered to Merger Sub and the Company a written consent, to be effective by its terms immediately following execution of this Agreement, approving and adopting this Agreement, and such approval and consent has not been subsequently rescinded, withdrawn or modified.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by Parent and Merger Sub, does not and will not, and the performance of this Agreement by Parent and Merger Sub and the consummation of the Transactions will not, (i) conflict with or violate any provision of the certificate of incorporation or bylaws of Parent or Merger Sub, (ii) assuming that all consents, approvals, authorizations and permits described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xml:space="preserve"> have been obtained and all filings and notifications described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have been made and any waiting periods thereunder have terminated or expired, conflict with or violate any Law applicable to Parent, Merger Sub or any other Subsidiary of Parent (each a “</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Parent Subsidiaries</w:t>
      </w:r>
      <w:r>
        <w:rPr>
          <w:rFonts w:ascii="Times New Roman;Times;Serif" w:hAnsi="Times New Roman;Times;Serif"/>
          <w:b w:val="false"/>
          <w:i w:val="false"/>
          <w:caps w:val="false"/>
          <w:smallCaps w:val="false"/>
          <w:sz w:val="20"/>
        </w:rPr>
        <w:t xml:space="preserve">”), or by which any property or asset of Parent or any Parent Subsidiary is bound or affected or (iii)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Parent or any Parent Subsidiary, including Merger Sub, pursuant to, any Contract or Permit to which Parent or any Parent Subsidiary is a party, except, with respect to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for any such conflicts, violations, breaches, defaults or other occurrences that have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Parent and Merger Sub does not and will not, and the consummation by Parent and Merger Sub of the Transactions and compliance by Parent and Merger Sub with any of the terms or provisions 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Antitrust Laws or the Other Required Filings, (iv) the filing and recordation of the Certificate of Merger as required by the DGCL and (v) where failure to obtain such consents, approvals, authorizations or permits, or to make such filings or notifications have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Litigation; Orders</w:t>
      </w:r>
      <w:r>
        <w:rPr>
          <w:rFonts w:ascii="Times New Roman;Times;Serif" w:hAnsi="Times New Roman;Times;Serif"/>
          <w:b w:val="false"/>
          <w:i w:val="false"/>
          <w:caps w:val="false"/>
          <w:smallCaps w:val="false"/>
          <w:sz w:val="20"/>
        </w:rPr>
        <w:t>. There are no Proceedings pending or, to the Knowledge of Parent, threatened against Parent or any Parent Subsidiaries or any of their respective officers or directors (in their capacities as such), at law or in equity, and none of Parent or any of the Parent Subsidiaries or any of their respective officers or directors (in their capacities as such), are subject to any outstanding Order, except, in each case, as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complete and correct copies of (i) the fully executed commitment letters dated as of the date of this Agreement (together with all exhibits and schedules thereto and any fee letters related thereto, the “</w:t>
      </w:r>
      <w:r>
        <w:rPr>
          <w:rFonts w:ascii="Times New Roman;Times;Serif" w:hAnsi="Times New Roman;Times;Serif"/>
          <w:b w:val="false"/>
          <w:i w:val="false"/>
          <w:caps w:val="false"/>
          <w:smallCaps w:val="false"/>
          <w:sz w:val="20"/>
          <w:u w:val="single"/>
        </w:rPr>
        <w:t>Commitment Letters</w:t>
      </w:r>
      <w:r>
        <w:rPr>
          <w:rFonts w:ascii="Times New Roman;Times;Serif" w:hAnsi="Times New Roman;Times;Serif"/>
          <w:b w:val="false"/>
          <w:i w:val="false"/>
          <w:caps w:val="false"/>
          <w:smallCaps w:val="false"/>
          <w:sz w:val="20"/>
        </w:rPr>
        <w:t>”) from the Financing Entities party thereto pursuant to which such Financing Entities have agreed, subject only to the terms and conditions thereof, to provide respective financing in the amounts set forth therein, and (ii) all fee letters related thereto, which Commitment Letters and fee letters may be redacted as to fee amounts, “flex terms”, other economic terms and other provisions (including any dates related thereto), in each case, that are customarily redacted in connection with transactions of this type so long as no such redaction covers terms that could reduce the amount of the Financing below the amount required to satisfy the Financing Amount or adversely affect the conditionality, enforceability, availability or termination of the Financing. The financing contemplated by the Commitment Letters is collectively referred to in this Agreement as the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set forth in the Commitment Letters, there are no conditions precedent to the obligations of the Financing Entities to provide the Financing, or any contingencies that would permit the Financing Entities to reduce the aggregate amount of the Financing. As of the date of this Agreement, Parent does not have any reason to believe that it will be unable to satisfy on a timely basis all terms and conditions to be satisfied by it in the Commitment Letters on or prior to the Closing Date, nor does Parent have knowledge that any of the Financing Entities will not perform its obligations thereunder. There are no side letters or other agreements, contracts or arrangements of any kind to which Parent or Merger Sub is a party relating to the funding of the full amount of the Financing required to fund the Financing Amount other than as expressly set forth in the Commitment Letters and customary engagement and fee letters (in each case, the terms of which (i) do not reduce the aggregate amount of the Financing below the amount contemplated by the Commitment Letter or (ii) could not adversely affect the availability, enforceability or conditionality of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(x) the accuracy in all material respects of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(y) the performance by the Company and its Subsidiaries of the covenants and agreements contained in this Agreement in all material respects, the Financing, when funded in accordance with the Commitment Letters (including giving effect to any “flex” provision in the Commitment Letters (including with respect to fees and original issue discount)), together with Parent’s other available sources of funds, shall provide Parent with cash proceeds on the Closing Date sufficient to enable Parent to perform all of Parent’s payment obligations under this Agreement and the Commitment Letters, including to pay the aggregate Merger Consideration and all amounts required in respect of Company Awards in accordance with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and any other amounts required to be paid by Parent or Merger Sub on the Closing Date in connection with the consummation of the Transactions (including any fees and expenses of or payable by Parent or Merger Sub and any repayment of any Company indebtedness on the Closing Date in connection with the Transactions) (such amounts, collectively, the “</w:t>
      </w:r>
      <w:r>
        <w:rPr>
          <w:rFonts w:ascii="Times New Roman;Times;Serif" w:hAnsi="Times New Roman;Times;Serif"/>
          <w:b w:val="false"/>
          <w:i w:val="false"/>
          <w:caps w:val="false"/>
          <w:smallCaps w:val="false"/>
          <w:sz w:val="20"/>
          <w:u w:val="single"/>
        </w:rPr>
        <w:t>Financing Amount</w:t>
      </w:r>
      <w:r>
        <w:rPr>
          <w:rFonts w:ascii="Times New Roman;Times;Serif" w:hAnsi="Times New Roman;Times;Serif"/>
          <w:b w:val="false"/>
          <w:i w:val="false"/>
          <w:caps w:val="false"/>
          <w:smallCaps w:val="false"/>
          <w:sz w:val="20"/>
        </w:rPr>
        <w:t>”), and there is no restriction on the use of such cash proceeds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obligations set forth in the Commitment Letters constitutes the legal, valid, binding and enforceable obligation of Parent and, to the knowledge of Parent, all the other parties thereto. As of the date of this Agreement, no event has occurred which (with or without notice, lapse of time or both) would constitute a default, breach or failure to satisfy a condition by Parent under the terms and conditions of the Commitment Letters, and, as of the date of this Agreement, Parent has no reason to believe that the Financing will not be available to Parent on the date of the Closing in an amount necessary to satisfy the Financing Amount. Parent has paid in full any and all commitment fees or other fees required to be paid pursuant to the terms of the Commitment Letters on or before the date of this Agreement, and will pay in full any such amounts due on or before the Closing Date. Except in accordance with the terms hereof, the Commitment Letters have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this Agreement to the contrary, in no event shall the receipt or availability of any funds or financing (including the Financing) by Parent, Merger Sub or any of their respective affiliates be a condition to any of Parent’s or Merger Sub’s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Parent or Merger Sub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For the avoidance of doubt, no representation or warranty is made by Parent or Merger Sub with respect to any statements made or incorporated by reference in the Proxy Statement based on information relating to the Company or any of its Subsidiaries or to statements made therein based on information supplied by or on behalf of Company for inclusion or incorporation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Ownership of Merger Sub</w:t>
      </w:r>
      <w:r>
        <w:rPr>
          <w:rFonts w:ascii="Times New Roman;Times;Serif" w:hAnsi="Times New Roman;Times;Serif"/>
          <w:b w:val="false"/>
          <w:i w:val="false"/>
          <w:caps w:val="false"/>
          <w:smallCaps w:val="false"/>
          <w:sz w:val="20"/>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of this Agreement engaged in any business or other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Neither Parent nor any Parent Subsidiary has employed any financial advisor, broker or finder or incurred any liability for any financial advisory, broker’s fees, commissions or finder’s fees in connection with any of the Transactions for which the Company would be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Stock Ownership</w:t>
      </w:r>
      <w:r>
        <w:rPr>
          <w:rFonts w:ascii="Times New Roman;Times;Serif" w:hAnsi="Times New Roman;Times;Serif"/>
          <w:b w:val="false"/>
          <w:i w:val="false"/>
          <w:caps w:val="false"/>
          <w:smallCaps w:val="false"/>
          <w:sz w:val="20"/>
        </w:rPr>
        <w:t>. None of Parent, Merger Sub or any of their respective “affiliates” or “associates” is, or at any time for the past three (3) years has been, an “interested stockholder” of the Company (as such terms are defined in Section 203 of the DGCL). None of Parent, Merger Sub or any of their respective “Affiliates” or “Associates” is, or at any time since November 12, 2025 has been, an “Acquiring Person” (as such terms are defined in the Rights Agreement). Neither Parent, Merger Sub, or, any of their respective affiliates directly or indirectly owns as of the date of this Agreement, or at all times for the past three (3) years through the date of this Agreement has owned, beneficially or otherwise, any Shares or other securities that are convertible, exchangeable or exercisable into Shares. None of Parent or Merger Sub or, any of their respective affiliates holds any rights to acquire or vote any Shares or other securities that are convertible, exchangeable or exercisable into Shares or any option, warrant, convertible security, stock appreciation right, swap agreement or other security, contract right or derivative position, whether or not presently exercisable, that provides Parent, Merger Sub or any of their respective affiliates or Subsidiaries with an exercise or conversion privilege or a settlement payment or mechanism at a price related to the value of the Shares or a value determined in whole or in part with reference to, or derived in whole or in part from, the value of the Shares, in any case without regard to whether (i) such derivative conveys any voting rights in such securities to such Person or such Person’s affiliates, (ii) such derivative is required to be, or is capable of being, settled through delivery of securities or (iii) such Person or such Person’s affiliates may have entered into other transactions that hedge the economic effect of such derivative, except pursuant to this Agreement or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Assuming that (a) the conditions to the obligation of Parent and Merger Sub to consummate the Merger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have been satisfied or waived and (b) the representations and warranties of the Company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are true, correct and accurate in all material respects, then immediately following the Effective Time and after giving effect to all of the Transactions and the payment of the Financing Amount, each of Parent, the Surviving Corporation and each of their respective Subsidiaries will not: (i)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(ii) have unreasonably small capital for the operation of the businesses in which it is engaged or proposed to be engaged; or (iii) have incurred debts, or be expected to incur debts, including contingent and other liabilities, beyond its ability to pay them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Certain Arrangements</w:t>
      </w:r>
      <w:r>
        <w:rPr>
          <w:rFonts w:ascii="Times New Roman;Times;Serif" w:hAnsi="Times New Roman;Times;Serif"/>
          <w:b w:val="false"/>
          <w:i w:val="false"/>
          <w:caps w:val="false"/>
          <w:smallCaps w:val="false"/>
          <w:sz w:val="20"/>
        </w:rPr>
        <w:t>. As of the date of this Agreement, none of Parent, Merger Sub or any of their respective affiliates or any other Person on behalf of Parent or Merger Sub or their respective affiliates has entered into any contract, commitment, agreement, instrument, obligation, arrangement, understanding or undertaking, whether written or oral,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such holder of Shares would be entitled to receive consideration of a different amount or nature than the Merger Consideration in respect of such holder’s Shares; (ii) except for the Voting Agreement, such holder of Shares has agreed to approve this Agreement or vote against any Superior Proposal; or (iii) such stockholder, director, or officer has agreed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as to the accuracy or completeness thereof) other than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provided in connection with this Agreement.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Parent, Merger Sub, any Parent Subsidiary,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provided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Conduct of Business by the Company Pending the Closing</w:t>
      </w:r>
      <w:r>
        <w:rPr>
          <w:rFonts w:ascii="Times New Roman;Times;Serif" w:hAnsi="Times New Roman;Times;Serif"/>
          <w:b w:val="false"/>
          <w:i w:val="false"/>
          <w:caps w:val="false"/>
          <w:smallCaps w:val="false"/>
          <w:sz w:val="20"/>
        </w:rPr>
        <w:t xml:space="preserve">. From the date of this Agreement until the earlier of the Closing Date and the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except (w) as expressly contemplated or required hereunder, (x) as required by applicable Law, (y) if Parent shall have expressly consented in advance in writing (such consent not to be unreasonably withheld, conditioned or delayed), or (z) as set forth on the correspondingly numbered subsection of Section 5.1 of the Company Disclosure Schedule, (1) the Company shall, and shall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(2) the Company shall not, and shall cause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upon the settlement of Company Awards outstanding as of the date of this Agreement, or issued after the date of this Agreement not in violation of this Agreement, in accordance with their terms or (ii) any issuance, sale or disposition to the Company or a Subsidiary of the Company by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 or consolidate the Company or any of its Subsidiaries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as applicable, in the ordinary course of business consistent with past practice, including (with respect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 entering into option contracts to acquire (and purchasing pursuant to the terms of such contracts) land or (B) as required by or pursuant to existing contracts made available to Parent, or (iv) any such acquisitions not to exceed $2,000,000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effect any recapitalization, reclassification, in-kind dividend, equity split or similar change in capitalization or (ii) adopt a plan or agreement of complete or partial liquidation or dissolution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amend the Company Charter or the Company By-Laws or (ii) amend the certificates or articles of incorporation, by-laws or limited liability company agreements (or equivalent organizational documents)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or withholding of Shares otherwise deliverable, to satisfy withholding Taxes incurred in connection with the exercise, vesting and/or settlement of Company Awards or (iii) the forfeiture of Shares under the Company RSAs or Company Performance-Based RSAs;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 shall prohibit the Company or any of its Subsidiaries from effectuating any transactions contemplated by any Contract in existence on the date of this Agreement to which the Company or any of its Subsidiaries is a party and that relates to any land banking or land disposition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sell, assign, transfer, permit to lapse, waive any rights under, abandon or license any material Owned Company IP,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or renew any Affiliate Contracts that would result in payments in excess of $120,000;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(C) indebtedness arising solely from a change in GAAP and (D) indebtedness for borrowed money or guarantees, letters of credit, performance bonds, maintenance bonds and other similar obligations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except as required by the terms of any Company Benefit Plan as in effect on the date of this Agreement, (A) increase the compensation or consulting fees, bonus, pension, welfare, fringe or other benefits, termination pay or severance payable or provided (or that may become payable or provided) to any current or former employee or other Service Provider of the Company; (B) take any action to 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this Agreement, or amend or terminate any Company Benefit Plan in existence on the date of this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settle, release, waive or compromise any existing or pending or threatened Proceeding unless such settlement, release, waiver or compromise (i) involves solely monetary damages that do not exceed (together with monetary damages payable in connection with all other settlements, releases, waivers and compromises entered into in accordance with this </w:t>
      </w:r>
      <w:r>
        <w:rPr>
          <w:rFonts w:ascii="Times New Roman;Times;Serif" w:hAnsi="Times New Roman;Times;Serif"/>
          <w:b w:val="false"/>
          <w:i w:val="false"/>
          <w:caps w:val="false"/>
          <w:smallCaps w:val="false"/>
          <w:sz w:val="20"/>
          <w:u w:val="single"/>
        </w:rPr>
        <w:t>Section 5.1(n)</w:t>
      </w:r>
      <w:r>
        <w:rPr>
          <w:rFonts w:ascii="Times New Roman;Times;Serif" w:hAnsi="Times New Roman;Times;Serif"/>
          <w:b w:val="false"/>
          <w:i w:val="false"/>
          <w:caps w:val="false"/>
          <w:smallCaps w:val="false"/>
          <w:sz w:val="20"/>
        </w:rPr>
        <w:t xml:space="preserve">) $2,000,000 in the aggregate (it being acknowledged and agreed that such amounts shall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(which Stockholder Litigation shall be governed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other than in the ordinary course of business consistent with past practice, (i) enter into any Contract that would, if entered into prior to the date of this Agreement, be a Material Contract, (ii) enter into any Contract that provides for a right to payment, acceleration or termination upon a change of control of the Company or a Subsidiary of the Company (other than with respect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restrict any entering into, modifying or amending of agreements respecting real property, which is the subject of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enter into, extend, amend or terminate any material interest rate, currency, equity, commodity or other swaps, hedges, derivatives, forward sales contracts or other similar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modify, renew, extend, or enter into any Labor Agreement or (ii) recognize or certify any labor union, labor organization, works council, or group of employees of the Company or its Subsidiaries as the bargaining representative for any employees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enter into any new line of business, or wind down any existing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except (i) in accordance with the Company’s capital budget set forth in Section 5.1(t) of the Company Disclosure Schedule, (ii) as permitted pursuant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or (iii) pursuant to Real Estate Purchase Agreements and any other Contracts executed in connection therewith in the ordinary course of business, make or agree to make any capital expenditure or expenditures that in the aggregate are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implement or adopt any material change in its financial accounting principles, practices or methods, other than as may be appropriate to conform to changes in statutory or regulatory accounting rules or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than in the ordinary course of business consistent with past practices, make any changes in the Company’s policies and practices with respect to underwriting, pricing, acquiring, developing, constructing, marketing and/or selling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make any amendment or modification to any Engagement Letter that would (i) increase the amount of compensation payable to any financial advisor or (ii) expand the commitments made by the Company or any of its Subsidiaries (or, from and after the Closing, Parent or its affiliates) under any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the its Subsidiaries’ material Insurance Policies, in any such case, that is materially adverse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other than in the ordinary course of business consistent with past practice, materially reduce the level of administrative, technical or physical safeguards maintained to protect the IT Systems or Personal Information, or materially modify any material privacy, information security, business continuity or disaster recovery policy in a manner materially adverse to the Company and its Subsidiaries, taken as a whole;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agree to take, make any commitment to take, or adopt any resolutions in support of, any of the actions prohibited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scope of covenants of the Company set forth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parties acknowledge and agree that (x) nothing contained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is intended to give Parent, directly or indirectly, the right to direct the control or operations of the Company or any of its Subsidiaries prior to the Closing and (y) prior to the Closing, subject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the Company shall exercise, consistent with the terms and conditions of this Agreement, complete control and supervision over the operations of itself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Access to Information, Employees and Facilities;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to the earlier of the Effective Time and the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shall, and shall cause each of its Subsidiaries to, to the extent necessary to facilitate consummation of the Transactions or integration planning related thereto and excluding any books and records that relate to the negotiation and execution of this Agreement or with respect to the consideration or valuation of the Merger or any financial or strategic alternatives thereto, or that relate to any Acquisition Proposal or a Superior Proposal (but without limiting the Company’s obligations under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in respect of an Acquisition Proposal or a Superior Proposal), provide Parent and Merger Sub and their respective Representatives with reasonable access during normal business hours and upon reasonable notice to the offices, properties, facilities, assets, books and records, including any financial, accounting, operating and other data and information in compliance with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officers, employees and other personnel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access and disclosure shall not unreasonably interfere with the conduct of the business of the Company and its Subsidiaries and (ii) nothing herein shall require the Company or its Subsidiaries to provide access to, or to disclose any information to Parent, Merger Sub or their respective Representatives, if such access or disclosure would, in the reasonable good faith judgement of the Company’s legal counsel, be reasonably likely to (A) result in the disclosure of trade secrets or waive any attorney-client, work-product or legal privilege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a loss of such privilege), (B) be in violation of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such violation of applicable Law), or (C) contravene the provisions of any then-effective Contract to which the Company or any of its Subsidiaries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such contravention or, to the extent necessary to allow for such access or disclosure, obtain the required consent to provide such access or disclosure, except that the Company shall have no obligation to pay any fee to a third party to obtain any such required consent). The Company shall use its reasonable best efforts to cause its Representatives to reasonably cooperate with Parent and Parent’s Representatives in connection with any access and examination contemplated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construed to require the Company or any of its Subsidiaries or any of their respective Representatives to prepare any reports, analyses, appraisals, opinions or other information. All requests for information made pursuant to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shall be in writing and directed to the General Counsel of, or other Person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the Company agrees and acknowledges that the Nondisclosure Agreement remains in effect and that, notwithstanding anything to the contrary contained in this Agreement, the Nondisclosure Agreement shall survive and remain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Except as expressly permitted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Company agrees that it and the Company Board (including any committee thereof) shall not, and the Company shall cause the Company’s Subsidiaries not to, and instruct its and their respective Representatives not to, directly or indirectly: (i) solicit, initiate, propose or knowingly induce the making, submission or announcement of, or knowingly assist, encourage or facilitate any Inquiry; (ii) 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proposal or offer that would reasonably be expected to lead to an Acquisition Proposal; or (iii) participate or engage in discussions, communications or negotiations with any Third Party with respect to an Acquisition Proposal or Inquiry. The Company shall, and shall cause the Company’s Subsidiaries and its and their respective Representatives to, immediately after the execution of this Agreement, cease any and all existing solicitation, discussions or negotiations with any Persons (or provision of any nonpublic information to any Persons) with respect to any Inquiry. Promptly after the date of this Agreement (and in any event within twenty-four (24) hours following the date of this Agreement), the Company shall (A) request in writing that each Person that has theretofore executed a confidentiality agreement in connection with its consideration of an Acquisition Proposal or potential Acquisition Proposal promptly destroy or return to the Company all non-public information theretofore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Company and its Subsidiaries will be required to enforce, and (except to the extent required by any “most favored nations” provision under any confidentiality agreement in effect as of the date of this Agreement) will not be permitted to waive, terminate or modify, any provision of any standstill or confidentiality agreement that prohibits or purports to prohibit a proposal being made to the Company Board (or any committee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this Agreement, the Company will not be required to enforce, and may grant a waiver under, any confidentiality agreement solely to the extent necessary to allow for a private Acquisition Proposal to be made directly to the Company or the Company Board. It is agreed and understood that any breach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by any director or officer or other Representative of the Company or any Subsidiary thereof will be deemed to be a breach of this Agreement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Acquisition Proposals</w:t>
      </w:r>
      <w:r>
        <w:rPr>
          <w:rFonts w:ascii="Times New Roman;Times;Serif" w:hAnsi="Times New Roman;Times;Serif"/>
          <w:b w:val="false"/>
          <w:i w:val="false"/>
          <w:caps w:val="false"/>
          <w:smallCaps w:val="false"/>
          <w:sz w:val="20"/>
        </w:rPr>
        <w:t xml:space="preserve">. Notwithstanding anything to the contrary set forth in this Agreement, at any time from and after the date of this Agreement until the Company’s receipt of the Requisite Company Stockholder Approval, (i) the Company and its Representatives may inform any Person or group (as defined under Section 13(d)(3) of the Exchange Act) of the existence of the provisions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(ii) if (x) the Company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from any Third Party that did not result, directly or indirectly, from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(y) the Company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Company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provide to Parent and its Representatives any non-public information that is provided to any Third Party or its Representatives (if such information was not previously made available to Parent) prior to or substantially concurrently with the time it is provided to such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provided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at no time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may the Company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withhold or withdraw, or amend, qualify or modify in a manner adverse to Parent or Merger Sub, the Company Board Recommendation; (B) (x) fail to publicly recommend against acceptance by the holders of Shares of a tender or exchange offer that constitutes an Acquisition Proposal within ten (10)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Company Board Recommendation in the Proxy Statement; (E) fail to make or reaffirm the Company Board Recommendation within ten (10) Business Days of Parent’s written request (or, if earlier and Parent has made such request prior to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prior to the Company Meeting, by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prior to the Company Meeting) following the date any Acquisition Proposal or any material modification thereto is first publicly disclosed or distributed to the stockholders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 request may be made by Parent only once with respect to each Acquisition Proposal and each amended Acquisition Proposal); (F) submit to the stockholders of the Company any Acquisition Proposal; or (G) publicly propose or agree to any of the foregoing (any action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Change of Recommendation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cause or permit the Company or any of its Subsidiaries to enter into any letter of intent, agreement in principle, memorandum of understanding, merger agreement, acquisition agreement or other Contract relating to an Acquisition Proposal, other than an Acceptable Confidentiality Agreement entered into in accordance with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(any of the foregoing, other than an Acceptable Confidentiality Agreement entered into in accordance with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 or publicly propose or agree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Change of Recommendation; Entry into Alternative Acquisition Agreement</w:t>
      </w:r>
      <w:r>
        <w:rPr>
          <w:rFonts w:ascii="Times New Roman;Times;Serif" w:hAnsi="Times New Roman;Times;Serif"/>
          <w:b w:val="false"/>
          <w:i w:val="false"/>
          <w:caps w:val="false"/>
          <w:smallCaps w:val="false"/>
          <w:sz w:val="20"/>
        </w:rPr>
        <w:t xml:space="preserve">. Notwithstanding anything to the contrary set forth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or elsewhere in this Agreement, at any time prior to obtaining the Requisite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may effect a Change of Recommendation in response to an Intervening Event, if the Company Board determines in good faith (after consultation with its independent financial advisor and outside legal counsel) that the failure to do so would reasonably be expected to be inconsistent with the directors’ fiduciary duties under applicable Law and if and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provided prior written notice to Parent at least four (4) Business Days (the “</w:t>
      </w:r>
      <w:r>
        <w:rPr>
          <w:rFonts w:ascii="Times New Roman;Times;Serif" w:hAnsi="Times New Roman;Times;Serif"/>
          <w:b w:val="false"/>
          <w:i w:val="false"/>
          <w:caps w:val="false"/>
          <w:smallCaps w:val="false"/>
          <w:sz w:val="20"/>
          <w:u w:val="single"/>
        </w:rPr>
        <w:t>Event Notice Period</w:t>
      </w:r>
      <w:r>
        <w:rPr>
          <w:rFonts w:ascii="Times New Roman;Times;Serif" w:hAnsi="Times New Roman;Times;Serif"/>
          <w:b w:val="false"/>
          <w:i w:val="false"/>
          <w:caps w:val="false"/>
          <w:smallCaps w:val="false"/>
          <w:sz w:val="20"/>
        </w:rPr>
        <w:t xml:space="preserve">”) in advance to the effect that the Company Board intends to effect a Change of Recommendation pursuant to this </w:t>
      </w:r>
      <w:r>
        <w:rPr>
          <w:rFonts w:ascii="Times New Roman;Times;Serif" w:hAnsi="Times New Roman;Times;Serif"/>
          <w:b w:val="false"/>
          <w:i w:val="false"/>
          <w:caps w:val="false"/>
          <w:smallCaps w:val="false"/>
          <w:sz w:val="20"/>
          <w:u w:val="single"/>
        </w:rPr>
        <w:t>Section 5.3(d)(i)</w:t>
      </w:r>
      <w:r>
        <w:rPr>
          <w:rFonts w:ascii="Times New Roman;Times;Serif" w:hAnsi="Times New Roman;Times;Serif"/>
          <w:b w:val="false"/>
          <w:i w:val="false"/>
          <w:caps w:val="false"/>
          <w:smallCaps w:val="false"/>
          <w:sz w:val="20"/>
        </w:rPr>
        <w:t>, which notice will specify the basis for such Change of Recommendation, including a description of the Intervening Event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prior to effecting such Change of Recommendation, the Company and its Representatives, during such Event Notice Period, must have (A) negotiated with Parent, Merger Sub and their Representatives in good faith (to the extent that Parent and Merger Sub desire to so negotiate) to allow Parent and Merger Sub to offer such adjustments to the terms and conditions of this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this Agreement proposed by Parent and Merger Sub and other information provided by Parent and Merger Sub during the Event Notice Period, in each case, that are offered in writing by Parent and Merger Sub, no later than 11:59 p.m., Eastern time, on the last day of the Event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time a material modification to the Intervening Event occurs, the Company shall notify Parent of such modification and comply with the requirements of this </w:t>
      </w:r>
      <w:r>
        <w:rPr>
          <w:rFonts w:ascii="Times New Roman;Times;Serif" w:hAnsi="Times New Roman;Times;Serif"/>
          <w:b w:val="false"/>
          <w:i w:val="false"/>
          <w:caps w:val="false"/>
          <w:smallCaps w:val="false"/>
          <w:sz w:val="20"/>
          <w:u w:val="single"/>
        </w:rPr>
        <w:t>Section 5.3(d)(i)</w:t>
      </w:r>
      <w:r>
        <w:rPr>
          <w:rFonts w:ascii="Times New Roman;Times;Serif" w:hAnsi="Times New Roman;Times;Serif"/>
          <w:b w:val="false"/>
          <w:i w:val="false"/>
          <w:caps w:val="false"/>
          <w:smallCaps w:val="false"/>
          <w:sz w:val="20"/>
        </w:rPr>
        <w:t xml:space="preserve"> and the time period set forth in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shall recommence and be extended for three (3) Business Days from the day of such modification;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following such Event Notice Period, including any subsequent Event Notice Period as provided in the final proviso of the foregoing </w:t>
      </w:r>
      <w:r>
        <w:rPr>
          <w:rFonts w:ascii="Times New Roman;Times;Serif" w:hAnsi="Times New Roman;Times;Serif"/>
          <w:b w:val="false"/>
          <w:i w:val="false"/>
          <w:caps w:val="false"/>
          <w:smallCaps w:val="false"/>
          <w:sz w:val="20"/>
          <w:u w:val="single"/>
        </w:rPr>
        <w:t>Section 5.3(d)(i)(2)</w:t>
      </w:r>
      <w:r>
        <w:rPr>
          <w:rFonts w:ascii="Times New Roman;Times;Serif" w:hAnsi="Times New Roman;Times;Serif"/>
          <w:b w:val="false"/>
          <w:i w:val="false"/>
          <w:caps w:val="false"/>
          <w:smallCaps w:val="false"/>
          <w:sz w:val="20"/>
        </w:rPr>
        <w:t>, the Company Board (after consultation with its independent financial advisor and outside legal counsel and taking into account Parent’s and Merger Sub’s proposed revisions to the terms and conditions of this Agreement) shall have determined that the failure of the Company Board to make such a Change of Recommendation would reasonably be expected to be inconsistent with the directors’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from any Third Party after the date of this Agreement that did not result, directly or indirectly, from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that the Company Board has concluded in good faith (after consultation with its independent financial advisor and outside legal counsel) is a Superior Proposal, then the Company Board may (x) effect a Change of Recommendation with respect to such Superior Proposal or (y) authorize the Company to terminate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to enter into an Alternative Acquisition Agreement with respect to such Superior Proposal substantially concurrently with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Board shall not take any action described in the foregoing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Company, its Subsidiaries and its and their respective Representatives have complied in all but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respects with their obligations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with respect to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the Company has provided prior written notice to Parent at least four (4) Business Days in advance (the “</w:t>
      </w:r>
      <w:r>
        <w:rPr>
          <w:rFonts w:ascii="Times New Roman;Times;Serif" w:hAnsi="Times New Roman;Times;Serif"/>
          <w:b w:val="false"/>
          <w:i w:val="false"/>
          <w:caps w:val="false"/>
          <w:smallCaps w:val="false"/>
          <w:sz w:val="20"/>
          <w:u w:val="single"/>
        </w:rPr>
        <w:t>Proposal Notice Period</w:t>
      </w:r>
      <w:r>
        <w:rPr>
          <w:rFonts w:ascii="Times New Roman;Times;Serif" w:hAnsi="Times New Roman;Times;Serif"/>
          <w:b w:val="false"/>
          <w:i w:val="false"/>
          <w:caps w:val="false"/>
          <w:smallCaps w:val="false"/>
          <w:sz w:val="20"/>
        </w:rPr>
        <w:t xml:space="preserve">”) to the effect that the Company Board (A)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has not been withdrawn; (B) has concluded in good faith that such Acquisition Proposal constitutes a Superior Proposal; and (C) intends to effect a Change of Recommendation or to terminate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which notice will specify the identity of the Third Party (or “group” of Third Parties) making such Acquisition Proposal, and will include a summary of the material terms and conditions thereof and copies of all relevant documents relating to such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financing commitments and fee letters related to such Superior Proposal may be redacted with respect to the fee amounts and specific “market flex” provisions in a customary manner); and (ii) prior to effecting such Change of Recommendation or such termination, the Company and its Representatives, during the Proposal Notice Period, must have (x) negotiated with Parent, Merger Sub and their Representatives in good faith (to the extent that Parent and Merger Sub desire to so negotiate) to allow Parent and Merger Sub to offer such adjustments to the terms and conditions of this Agreement so that such Acquisition Proposal would cease to constitute a Superior Proposal; and (y) taken into account any adjustments to the terms and conditions of this Agreement proposed by Parent and Merger Sub and other information provided by Parent and Merger Sub during the Proposal Notice Period, in each case, that are offered in writing by Parent and Merger Sub, no later than 11:59 p.m., Eastern time, on the last day of the Proposal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any material modifications to such Acquisition Proposal (which shall be deemed to include any change to the financial terms of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with respect to such new written notice (it being understood that the “Proposal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following such Proposal Notice Period, including any subsequent Proposal Notice Period as provided in the final proviso of the foregoing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the Company Board shall have concluded in good faith (after consultation with its independent financial advisor and outside legal counsel and taking into account Parent’s proposed revisions to the terms and conditions of this Agreement and any other information provided by Parent) that such Acquisition Proposal continues to constitute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It is acknowledged and agreed that none of (x) the determination in and of itself by the Company Board that an Acquisition Proposal constitutes, or would reasonably be expected to result in, a Superior Proposal or (y) the delivery in and of itself by the Company Board of any notice contemplated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will constitute a Change of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as promptly as reasonably practicable (and, in any event, within twenty-four (24) hours), notify Parent in writing if the Company, any of its Subsidiaries or, to the Knowledge of the Company, any of their respective Representatives has received any (x) Acquisition Proposals or (y) material revision to the terms and conditions of any pending Acquisition Proposals disclosed pursuant to the foregoing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Thereafter, the Company shall keep Parent reasonably informed, on a reasonably prompt basis and as otherwise requested by Parent,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agrees that it shall not, and shall cause its Subsidiaries not to, enter into any confidentiality or other agreement subsequent to the date of this Agreement that prohibits 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 Change of Recommendation, unless this Agreement shall have been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 this Agreement shall be submitted to the stockholders of the Company at the Company Meeting for the purpose of obtaining the Requisite Company Stockholder Approval, and nothing contained herein shall be deemed to relieve the Company of such obligation and (y) neither the Company Board nor any committee thereof shall submit to the stockholders of the Company any Acquisition Proposal, or, except as permitted herein, propose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Disclosures</w:t>
      </w:r>
      <w:r>
        <w:rPr>
          <w:rFonts w:ascii="Times New Roman;Times;Serif" w:hAnsi="Times New Roman;Times;Serif"/>
          <w:b w:val="false"/>
          <w:i w:val="false"/>
          <w:caps w:val="false"/>
          <w:smallCaps w:val="false"/>
          <w:sz w:val="20"/>
        </w:rPr>
        <w:t>. Nothing in this Agreement will prohibit the Company or its Subsidiaries or the Company Board from (i) taking or disclosing to the stockholders of the Company any position contemplated by Rules 14d-9 or 14e-2(a) promulgated under the Exchange Act or (ii) otherwise making disclosures to comply with applicable Law (it being agreed that a “stop, look and listen” communication by the Company Board to the Company’s stockholders pursuant to Rule 14d-9(f) promulgated under the Exchange Act or a factually accurate public statement by the Company that describes the Company’s receipt of an Acquisition Proposal and the operation of this Agreement with respect thereto shall not be deemed to be a Change of Recommendation or give rise to a Parent termination right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disclosure made as permitted under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that relates to an Acquisition Proposal (other than a “stop, look and listen” communication by the Company Board to the Company’s stockholders pursuant to Rule 14d-9(f) promulgated under the Exchange Act) shall be deemed to be a Change of Recommendation unless the Company Board expressly publicly reaffirms the Company Board Recommendation in connection with such disclosure and (B) any Change of Recommendation must be made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Company Meeting;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this Agreement is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in accordance with applicable Law, the rules of the NYSE and the Company’s organizational documents, establish a record date for, duly call, give notice of, convene and hold a meeting of holders of Shares (the “</w:t>
      </w:r>
      <w:r>
        <w:rPr>
          <w:rFonts w:ascii="Times New Roman;Times;Serif" w:hAnsi="Times New Roman;Times;Serif"/>
          <w:b w:val="false"/>
          <w:i w:val="false"/>
          <w:caps w:val="false"/>
          <w:smallCaps w:val="false"/>
          <w:sz w:val="20"/>
          <w:u w:val="single"/>
        </w:rPr>
        <w:t>Company Meeting</w:t>
      </w:r>
      <w:r>
        <w:rPr>
          <w:rFonts w:ascii="Times New Roman;Times;Serif" w:hAnsi="Times New Roman;Times;Serif"/>
          <w:b w:val="false"/>
          <w:i w:val="false"/>
          <w:caps w:val="false"/>
          <w:smallCaps w:val="false"/>
          <w:sz w:val="20"/>
        </w:rPr>
        <w:t>”) as promptly as reasonably practicable, and in any event no more than thirty (30) days after (or such later date as mutually agreed in writing by the parties), the mailing of the Proxy Statement, for the purpose of voting on the adoption of this Agreement. In relation to the Company Meeting and the conduct of business thereat, the Company shall comply with its certificate of incorporation and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promptly as practicable after the date of this Agreement, and in any event no later than twenty (20) Business Days after the date of this Agreement, the Company shall prepare and file with the SEC a proxy statement relating to the solicitation of proxies from the holders of Shares for the approval and adoption of this Agreement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and the Company shall use its reasonable best efforts to have the Proxy Statement cleared by the SEC as promptly as reasonably practicable after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cause the definitive Proxy Statement to be mailed to the Company’s stockholders as promptly as practicable, and in no event more than two (2) Business Days, after the earlier of (x) the tenth day after the Proxy Statement is initially filed with the SEC if the SEC has not informed the Company that it will review the Proxy Statement and (y) confirmation by the SEC that the SEC has no further comments on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record date for the Company Meeting shall be selected after reasonable consultation with Parent;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Company shall include in the Proxy Statement (and any supplement or amendment thereto) the Company Board Recommendation (subject to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and the written opinions contemplated by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and Merger Sub shall reasonably cooperate in the preparation of the Proxy Statement and shall promptly provide to the Company all information regarding Parent or Merger Sub or any of their respective affiliates that is reasonably required in connection with the preparation and filing of the Proxy Statement and any amendment or supplement thereto. The Company shall use its reasonable best efforts to ensure that the Proxy Statement complies as to form in all material respects with the requirements of the Exchange Act and other applicable Law.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Unless a Change of Recommendation has been made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Company shall use its reasonable best efforts to obtain the Requisite Company Stockholder Approval. The Company agrees that, unless this Agreement shall have been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as expressly provided herein (including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its obligations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shall not be affected by the commencement, public proposal, public disclosure or communication to the Company of any Acquisition Proposal or by the making of any Change of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promptly notify Parent of the receipt of any comments of the SEC with respect to the Proxy Statement and of any request by the SEC for any amendment or supplement thereto or for additional information and shall promptly provide Parent with copies of all correspondence between the Company and the SEC with respect to the Proxy Statement (including a summary of any oral conversations). The Company, Parent and Merger Sub shall each use their reasonable best efforts to promptly provide responses to the SEC with respect to all comments of the SEC received on the Proxy Statement. Prior to the submission of the Proxy Statement (and any supplement or amendment thereto) and all responses to the SEC, the Company shall reasonably cooperate and provide Parent and its legal counsel with a reasonable opportunity to review and comment on the Proxy Statement (other than in connection with a Change of Recommendation) and any responses to the SEC and shall consider in good faith any comments reasonably proposed by Parent (it being understood that Parent shall provide any such comments reasonably promptly). The Company shall use its reasonable best efforts to have the comments of the SEC (if any) on the Proxy Statement (and any supplement or amendment thereto) addressed to the satisfaction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event occurs with respect to the Company or its Subsidiaries, or any change occurs with respect to other information supplied by the Company for inclusion in the Proxy Statement, which is required to be described in an amendment of, or a supplement to, the Proxy Statement, the Company shall promptly notify Parent of such event, and the Company and Parent shall reasonably cooperate in the prompt filing with the SEC of any necessary amendment or supplement to the Proxy Statement and, as required by Law, in disseminating the information contained in such amendment or supplement to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event occurs with respect to Parent or Merger Sub, or any change occurs with respect to other information supplied by Parent or Merger Sub for inclusion in the Proxy Statement, which is required to be described in an amendment of, or a supplement to, the Proxy Statement, Parent shall promptly notify the Company of such event, and Parent and the Company shall reasonably cooperate in the prompt filing with the SEC of any necessary amendment or supplement to the Proxy Statement and, as required by Law, in disseminating the information contained in such amendment or supplement to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 shall postpone or adjourn the Company Meeting at Parent’s request in one or more successive adjournments to a date as determined by the Company that is no later than thirty (30) days after the date on which the Company Meeting was originally scheduled (excluding any adjournments or postponements required by applicable Law) (x) if a quorum has not been established at the time of the Company Meeting or (y) to allow reasonable additional time to solicit additional proxies if necessary in order to obtain the Requisite Company Stockholder Approval and (ii) may postpone or adjourn the Company Meeting in one or more successive adjournments to a date that is no later than thirty (30) days after the date on which the Company Meeting was originally scheduled (excluding any adjournments or postponements required by applicable Law) (v) with the consent of Parent (not to be unreasonably withheld, conditioned or delayed), (w) if the Company reasonably believes that there will be insufficient Shares represented (either in person or by proxy) to constitute a quorum necessary to conduct the business of the Company Meeting, (x) after consultation with Parent, to allow reasonable additional time for the filing and mailing of any supplemental or amended disclosure which the Company Board has determined in good faith is necessary or advisable and for such supplemental or amended disclosure to be disseminated and reviewed by the Company’s stockholders prior to the Company Meeting, or (y) to allow reasonable additional time to solicit additional proxies if necessary in order to obtain the Requisite Company Stockholder Approval. In addition, the Company shall postpone or adjourn the Company Meeting if and to the extent such postponement or adjournment of the Company Meeting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Regulatory Filings;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set forth in this Agreement, each of the parties agrees to use its reasonable best efforts to take, or cause to be taken, all actions that are necessary, proper or advisable under this Agreement and applicable Law to cause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and to consummate and make effective the Merger and the other Transactions as promptly as reasonably practicable. In furtherance and not in limitation of the foregoing, each of Parent and the Company shall, within ten (10) Business Days after the date of this Agreement, (i) make or cause to be made an appropriate filing of a Notification and Report Form pursuant to the HSR Act with respect to the Transactions to the extent required under the HSR Act and (ii) file or cause to be filed appropriate filings or draft filings, notices or applications under the Laws set forth on Section 5.5(a) of the Company Disclosure Schedule with respect to this Agreement and the Transactions (the “</w:t>
      </w:r>
      <w:r>
        <w:rPr>
          <w:rFonts w:ascii="Times New Roman;Times;Serif" w:hAnsi="Times New Roman;Times;Serif"/>
          <w:b w:val="false"/>
          <w:i w:val="false"/>
          <w:caps w:val="false"/>
          <w:smallCaps w:val="false"/>
          <w:sz w:val="20"/>
          <w:u w:val="single"/>
        </w:rPr>
        <w:t>Other Required Filings</w:t>
      </w:r>
      <w:r>
        <w:rPr>
          <w:rFonts w:ascii="Times New Roman;Times;Serif" w:hAnsi="Times New Roman;Times;Serif"/>
          <w:b w:val="false"/>
          <w:i w:val="false"/>
          <w:caps w:val="false"/>
          <w:smallCaps w:val="false"/>
          <w:sz w:val="20"/>
        </w:rPr>
        <w:t xml:space="preserve">”). The Company, Parent and Merger Sub shall each use its reasonable best efforts to supply as promptly as reasonably practicable any additional information and documentary material that may be reasonably requested pursuant to the foregoing (including with respect to information requests received from the relevant Governmental Entity following submission of the relevant filings, submissions or notices), and use their respective reasonable best efforts to take all other actions necessary to cause the expiration or termination of the applicable waiting periods and obtain all consents in connection with the foregoing as soon as reasonably practicable. Notwithstanding the foregoing, any party may, as it deems advisable and necessary, reasonably designate any competitively sensitive material provided to the other parties under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With regard to any sharing of information contemplated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(A) information may be withheld as necessary to address reasonable attorney-client privilege, contractual obligations or similar concerns, (B) materials may be redacted to remove references concerning the valuation for the Transactions and (C) no party or any of its affiliates shall be obligated to provide to any other party or its affiliates any portion of its or its affiliate’s notification filing under the HSR Act not customarily furnished to other parties in connection with filings under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prohibited by applicable Law or Order, Parent, Merger Sub and the Company shall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Federal Trade Commission, the Antitrust Division of the Department of Justice, or any other similar Governmental Entity (including Governmental Entities in respect of the Other Required Filings), in each case regarding any of the Transactions, (iii) consult with each other prior to taking any material position with respect to the filings under the HSR Act or filings under the Other Required Filings, (iv) permit 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the Other Required Filings,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this Agreement or the Transactions under the HSR Act and the Other Required Filings, and (vi) to the extent permitted by the Governmental Entity, subject to the other party’s compliance with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Other Required Filing. Notwithstanding the foregoing, Parent shall control and direct (with prior notice to and consultation of the Company, and taking the Company’s views into account in good faith) all communications and strategy relating to any process, investigation, inquiry, challenge or Proceeding related to, under or in connection with the HSR Act or any other Antitrust Law and any Other Required Filing;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shall extend any waiting period under the HSR Act or enter into any agreement with any Governmental Entity not to consummate the Transactions, except with the prior written consent of the other parties (such consent by the Company not to be unreasonably withhold,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prohibited by applicable Law or Order or by the applicable Governmental Entity, each of the Company, on one hand, and Parent and Merger Sub, on the other hand, shall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furtherance of the actions and obligations described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5.5(e)</w:t>
      </w:r>
      <w:r>
        <w:rPr>
          <w:rFonts w:ascii="Times New Roman;Times;Serif" w:hAnsi="Times New Roman;Times;Serif"/>
          <w:b w:val="false"/>
          <w:i w:val="false"/>
          <w:caps w:val="false"/>
          <w:smallCaps w:val="false"/>
          <w:sz w:val="20"/>
        </w:rPr>
        <w:t>, each of the Company, on the one hand, and Parent, on the other hand, shall use its reasonable best efforts to resolve as promptly as reasonably practical (and in any event, prior to the Outside Date as it may be extended hereunder) such objections, if any, as may be asserted by any Governmental Entity with respect to the Transactions under the HSR Act and any other Antitrust Law. Each of the Company, on one hand, and Parent, on the other hand, shall use its reasonable best efforts to take such actions as may be required to cause the expiration or termination of the waiting, notice or review periods under the HSR Act and any other Antitrust Law, in each case, with respect to the Transactions as promptly as reasonably practicable after the execution of this Agreement (and in any event prior to the Outside Date as it may be extended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of the actions and obligations described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5.5(d)</w:t>
      </w:r>
      <w:r>
        <w:rPr>
          <w:rFonts w:ascii="Times New Roman;Times;Serif" w:hAnsi="Times New Roman;Times;Serif"/>
          <w:b w:val="false"/>
          <w:i w:val="false"/>
          <w:caps w:val="false"/>
          <w:smallCaps w:val="false"/>
          <w:sz w:val="20"/>
        </w:rPr>
        <w:t xml:space="preserve">, each of the Company, on one hand, and Parent, on the other hand, further agrees that it shall, and shall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hereunder), including, as necessary with regard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Remedy Action</w:t>
      </w:r>
      <w:r>
        <w:rPr>
          <w:rFonts w:ascii="Times New Roman;Times;Serif" w:hAnsi="Times New Roman;Times;Serif"/>
          <w:b w:val="false"/>
          <w:i w:val="false"/>
          <w:caps w:val="false"/>
          <w:smallCaps w:val="false"/>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this Agreement, nothing in this Agreement shall require or be construed to require that Parent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shall constitute a material adverse effect on the Company and its Subsidiaries (taken as a whole) for purposes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Agreement, (i) nothing in this Agreement shall permit, or be deemed to permit, the Company or any of its Subsidiaries, without the prior written consent of Parent, to propose or offer to a Governmental Entity, commit to, effect, become subject to, undertake, discuss or negotiate with a Governmental Entity, consent to or agree to any Remedy Action or any other relief or remedy, (ii) at the request of Parent, the Company shall, and shall cause its Subsidiaries to, enter into one or more agreements prior to the Closing with respect to any Remedy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agreements are conditioned upon the Closing), (iii) nothing in this Agreement shall require the Company to take or to cause its Subsidiaries to take any Remedy Action unless the effectiveness of such Remedy Action is conditioned upon the Closing and (iv) none of Parent, Merger Sub or their respective Subsidiaries shall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this Agreement, neither the Parent nor any of its Affiliates shall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or (ii) terminate, relinquish, modify or waive any existing relationships, ventures, contractual rights or obligations of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shall not, and shall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at the Closing Date and ending on the first anniversary of the Closing Date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Parent shall cause to be provided to each employee of the Company and its Subsidiaries as of immediately prior to the Effective Time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for so long as such Continuing Employee remains employed by Parent or its Subsidiaries (including the Surviving Corporation) during the Continuation Period, (i) (x) a base salary (or wage rate) and (y) target cash incentive opportunity that, in each case, is no less favorable than those provided to similarly-situated employees of Parent and (ii) employee benefits that are no less favorable than those provided to newly hired similarly-situated employees of Parent. For the greater of (x) the duration of any change in control protection period in any severance plan, program or individual agreement and (y) the duration of the Continuation Period, Parent or one of its affiliates shall maintain for the benefit of each Continuing Employee a severance or termination arrangement no less favorable than the severance or termination arrangement provided to such Continuing Employee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of the Company’s short-term cash incentive plans (each, an “</w:t>
      </w:r>
      <w:r>
        <w:rPr>
          <w:rFonts w:ascii="Times New Roman;Times;Serif" w:hAnsi="Times New Roman;Times;Serif"/>
          <w:b w:val="false"/>
          <w:i w:val="false"/>
          <w:caps w:val="false"/>
          <w:smallCaps w:val="false"/>
          <w:sz w:val="20"/>
          <w:u w:val="single"/>
        </w:rPr>
        <w:t>Annual Short-Term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not already paid as of the Effective Time, and with respect to the performance period beginning October 1, 2025 and ending September 30, 2026, the Surviving Corporation and its Subsidiaries shall (and Parent shall cause the Surviving Corporation and its Subsidiaries to) pay to each Continuing Employee, at substantially the same time or times that they would have otherwise been paid but for the Transactions, including, if applicable, the profit sharing component thereof, for such fiscal year (the “</w:t>
      </w:r>
      <w:r>
        <w:rPr>
          <w:rFonts w:ascii="Times New Roman;Times;Serif" w:hAnsi="Times New Roman;Times;Serif"/>
          <w:b w:val="false"/>
          <w:i w:val="false"/>
          <w:caps w:val="false"/>
          <w:smallCaps w:val="false"/>
          <w:sz w:val="20"/>
          <w:u w:val="single"/>
        </w:rPr>
        <w:t>2026 Annual Bonus</w:t>
      </w:r>
      <w:r>
        <w:rPr>
          <w:rFonts w:ascii="Times New Roman;Times;Serif" w:hAnsi="Times New Roman;Times;Serif"/>
          <w:b w:val="false"/>
          <w:i w:val="false"/>
          <w:caps w:val="false"/>
          <w:smallCaps w:val="false"/>
          <w:sz w:val="20"/>
        </w:rPr>
        <w:t xml:space="preserve">”) that is equal to the 2026 Annual Bonus that such Continuing Employee is entitled to receive under the applicable Annual Short-Term Incentive Plan based on actual level of achievement of the applicable performance criteria for such fiscal year measured as of September 30, 2026, or if earlier, as of the Effective Time (as determined after giving appropriate effect to the Transactions); provided that nothing in this </w:t>
      </w:r>
      <w:r>
        <w:rPr>
          <w:rFonts w:ascii="Times New Roman;Times;Serif" w:hAnsi="Times New Roman;Times;Serif"/>
          <w:b w:val="false"/>
          <w:i w:val="false"/>
          <w:caps w:val="false"/>
          <w:smallCaps w:val="false"/>
          <w:sz w:val="20"/>
          <w:u w:val="single"/>
        </w:rPr>
        <w:t>Section 5.6(b)(i)</w:t>
      </w:r>
      <w:r>
        <w:rPr>
          <w:rFonts w:ascii="Times New Roman;Times;Serif" w:hAnsi="Times New Roman;Times;Serif"/>
          <w:b w:val="false"/>
          <w:i w:val="false"/>
          <w:caps w:val="false"/>
          <w:smallCaps w:val="false"/>
          <w:sz w:val="20"/>
        </w:rPr>
        <w:t> shall reduce or limit any severance payment or benefit to which a Continuing Employee is entitled under any other Contract or Company Benefit Plan and in no event shall this provision result in a duplicate payment of the 2026 Annual Bonus to any Continuing Employee. Payment of the 2026 Annual Bonus to a Continuing Employee shall be conditioned upon (x) such Continuing Employee’s continued employment with Parent, the Surviving Corporation or any of their respective Subsidiaries from the Effective Time through the date such bonus is paid or (y) termination of such Continuing Employee’s employment by Parent, the Surviving Corporation or any of their respective Subsidiaries “without cause” before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provisions of Section 5.1 of the Company Disclosure Schedule, if the Effective Time occurs on or after October 1, 2026, with respect to the performance period beginning October 1, 2026, the Surviving Corporation and its Subsidiaries shall (and Parent shall cause the Surviving Corporation and its Subsidiaries to) pay to each Continuing Employee who remains employed with Parent, the Surviving Corporation or their respective Subsidiaries through the date the 2027 Annual Bonus is paid, at substantially the same time or times that they would have otherwise been paid but for the Transactions, a cash bonus, including, if applicable, the profit sharing component thereof, for such fiscal year (the “</w:t>
      </w:r>
      <w:r>
        <w:rPr>
          <w:rFonts w:ascii="Times New Roman;Times;Serif" w:hAnsi="Times New Roman;Times;Serif"/>
          <w:b w:val="false"/>
          <w:i w:val="false"/>
          <w:caps w:val="false"/>
          <w:smallCaps w:val="false"/>
          <w:sz w:val="20"/>
          <w:u w:val="single"/>
        </w:rPr>
        <w:t>2027 Annual Bonus</w:t>
      </w:r>
      <w:r>
        <w:rPr>
          <w:rFonts w:ascii="Times New Roman;Times;Serif" w:hAnsi="Times New Roman;Times;Serif"/>
          <w:b w:val="false"/>
          <w:i w:val="false"/>
          <w:caps w:val="false"/>
          <w:smallCaps w:val="false"/>
          <w:sz w:val="20"/>
        </w:rPr>
        <w:t xml:space="preserve">”) equal to the amount earned, if any, based on the level of achievement of the relevant performance goal(s) under the applicable Annual Short-Term Incentive Plan for such fiscal year; provided, that nothing in this </w:t>
      </w:r>
      <w:r>
        <w:rPr>
          <w:rFonts w:ascii="Times New Roman;Times;Serif" w:hAnsi="Times New Roman;Times;Serif"/>
          <w:b w:val="false"/>
          <w:i w:val="false"/>
          <w:caps w:val="false"/>
          <w:smallCaps w:val="false"/>
          <w:sz w:val="20"/>
          <w:u w:val="single"/>
        </w:rPr>
        <w:t>Section 5.6(b)(ii)</w:t>
      </w:r>
      <w:r>
        <w:rPr>
          <w:rFonts w:ascii="Times New Roman;Times;Serif" w:hAnsi="Times New Roman;Times;Serif"/>
          <w:b w:val="false"/>
          <w:i w:val="false"/>
          <w:caps w:val="false"/>
          <w:smallCaps w:val="false"/>
          <w:sz w:val="20"/>
        </w:rPr>
        <w:t> shall reduce or limit any severance payment or benefit to which a Continuing Employee is entitled under any other Contract or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benefit plans maintained by Parent or any of the Parent Subsidiaries, including the Surviving Corporation (including any vacation, paid time-off and severance plans, but excluding any plan providing for qualified or non-qualified defined benefit pension benefits, nonqualified deferred compensation, equity or equity-based compensation, or post-termination or retiree health or welfare benefits), for all purposes, including determining eligibility to participate, level of benefits, vesting and benefit accruals, each Continuing Employee’s service with the Company or any of its Subsidiaries, as reflected in the Company’s records, shall be treated as service with Parent or any of the Parent Subsidiaries, including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service need not be recognized to the extent that such recognition would result in any duplication of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or shall cause the Parent Subsidiaries (including the Surviving Corporation) to use commercially reasonable efforts to, (i)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and (ii)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(and dependents) will be eligible to participate from and after the Effective Time, provided, that none of the foregoing shall result in the duplication of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shall take all actions necessary or appropriate to terminate, effective as of no later than the day immediately preceding the Closing Date, any Company Benefit Plan that contains a cash or deferred arrangement intended to qualify under Section 401(a) of the Code, including, terminating participation in any pooled employer plan (the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The Company shall deliver to Parent, before the Closing Date, written evidence (the form and substance of which shall be subject to review and comment by Parent) that (i) the Company Board or the applicable committee thereof has validly adopted resolutions to terminate or, with respect to any pooled employer plan, terminate participation in the 401(k) Plan and (ii) the Company and its Subsidiaries have made all necessary payments to fund the contributions (A) necessary or required to maintain the tax qualified status of the 401(k) Plan and (B) for employer matching contributions (if any) for the period before termination, (iii) the Company and its Subsidiaries have ceased contributions to the 401(k) Plan, (iv) the Company and its Subsidiaries have fully vested all retained employees who are participants under the 401(k) Plan, and (v) the Company and its Subsidiaries have taken any other actions necessary to terminate participation in any pooled 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Without limiting the generality of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are solely for the benefit of the parties to this Agreement, and no Continuing Employee or other current or former employee or other Service Provider of the Company (including any beneficiary or dependent thereof) shall be regarded for any purpose as a third-party beneficiary of this Agreement, and no provision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Parent’s reasonable request from time to time, the Company shall use commercially reasonable efforts to provide Parent, within a reasonable period of time following receipt of such request (but in no event more than ten (10) Business Days following receipt of such request), with the most recent calculations available to the Company relating to Sections 280G and 4999 of the Code relating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and to the fullest extent permitted under applicable Law, Parent shall, and shall cause the Surviving Corporation to, indemnify, defend and hold harmless each present and former director and officer of the Company and its Subsidiaries (each,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this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 Charter, the Company By-Laws or the certificate of incorporation and bylaws, or equivalent organizational documents, of any Subsidiary. In addition, from and after the Effective Time and to the fullest extent permitted under applicable Law, Parent shall, and shall cause the Surviving Corporation to, advance expenses (including reasonable legal fees and expenses) incurred by an Indemnitee in connection with such a Proceeding or investigation, including any expenses incurred in enforcing such Person’s rights under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in each case regardless of whether such advancement is authorized under the Company Charter, the Company By-Laws or the certificate of incorporation and bylaws, or equivalent organizational documents, of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Indemnitee to whom fees and expenses are advanced provides an undertaking to repay such advances if it is ultimately determined that such Indemnitee is not entitled to indemnification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any Indemnitee as provided in the Company Charter, the Company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shall survive the Merger and shall continue in full force and effect in accordance with their terms. For a period of no less than six (6) years from the Effective Time, Parent shall cause the Surviving Corporation to, and the Surviving Corporation shall,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this Agreement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and shall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rights to exculpation, indemnification and advancement of expenses in respect of any Proceeding pending or asserted or any claim made within such period shall continue until the final disposition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six (6) years from and after the Effective Time, Parent and the Surviving Corporation shall be jointly and severally responsible for maintaining for the benefit of the directors and officers of the Company, as of the date of this Agreement and as of the Closing Date, a directors and officers insurance policy that provides coverage for events occurring at or prior to the Effective Time (the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Parent and the Surviving Corporation shall not be required to pay an annual premium for the D&amp;O Insurance in excess of 300% of the last annual premium paid by the Company prior to the date of this Agreement, it being understood that if the total premiums payable for such insurance coverage exceeds such amount, Parent shall obtain a policy with the greatest coverage available for a cost equal to such amount. The provisions of the immediately preceding sentence shall be deemed to have been satisfied if prepaid “tail” policies have been obtained by the Company prior to the Effective Time, which policies provide such directors and officers with such coverage for an aggregate period of six (6) years from and after the Effective Time with respect to claims arising from facts or events that occurred on or before the Effective Time, including in respect of this Agreement or the Transactions. The Company shall be permitted, at its sole discretion, to obtain such prepaid “tail” policies (subject to the aforementioned premium cap) that provide such coverage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either Parent or the Surviving Corporation or any of their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(i) intended to be, from and after the Effective Time, for the benefit of, and shall be enforceable by, each Indemnitee, his or her heirs and his or her representatives and (ii) in addition to, and not in substitution for, any other rights to indemnification, advancement or contribution that any such individual may have under the Company Charter, the Company By-Laws or similar organization documents in effect as of the date of this Agreement or in any Contract of the Company or its Subsidiaries in effect as of the date of this Agreement. From and after the Effective Time, the obligations of Parent and the Surviving Corporation under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applies unless the affected Indemnitee shall have consented in writing to such termination or modification (it being expressly agreed that the Indemnitees to whom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applies shall be, from and after the Effective Time, third party beneficiaries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and advancement of expenses provided for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not prior to or in substitution for any such claims under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Parent Agreements Concerning Merger Sub</w:t>
      </w:r>
      <w:r>
        <w:rPr>
          <w:rFonts w:ascii="Times New Roman;Times;Serif" w:hAnsi="Times New Roman;Times;Serif"/>
          <w:b w:val="false"/>
          <w:i w:val="false"/>
          <w:caps w:val="false"/>
          <w:smallCaps w:val="false"/>
          <w:sz w:val="20"/>
        </w:rPr>
        <w:t xml:space="preserve">. During the period from the date of this Agreement and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Merger Sub shall not engage in any activity of any nature except for activities contemplated by, related to or in furtherance of the Transactions (including enforcement of its rights under this Agreement, the Commitment Letters or the Definitive Agreements)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Takeover Statutes; Rights Agreement</w:t>
      </w:r>
      <w:r>
        <w:rPr>
          <w:rFonts w:ascii="Times New Roman;Times;Serif" w:hAnsi="Times New Roman;Times;Serif"/>
          <w:b w:val="false"/>
          <w:i w:val="false"/>
          <w:caps w:val="false"/>
          <w:smallCaps w:val="false"/>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shall (a) take all action necessary so that no restriction on business combinations in any Takeover Statute is or becomes applicable to this Agreement or any of the Transactions (including, for the avoidance of doubt, the Merger), and (b) if any provision of the Rights Agreement or any restriction on business combinations in such Takeover Statute is or becomes applicable to this Agreement or any of the Transactions (including, for the avoidance of doubt, the Merger), take all action necessary so that the Merger and the other Transactions may be consummated as promptly as practicable on the terms contemplated by this Agreement and otherwise to eliminate or minimize the effect of such provision or Takeover Statute on this Agreement and the Transactions (including, for the avoidance of doubt, the Merger). No Change of Recommendation shall change, or be deemed to change, or permit the Company or the Company Board to change, in any manner or respect the approval of the Company Board for purposes of causing any Takeover Statute to be inapplicable to this Agreement or any of the Transactions (including, for the avoidance of doubt, the Merger). Neither the Company nor the Company Board shall take any action to exempt any Person other than Parent or Merger Sub from the restrictions on “business combinations” contained in any applicable Takeover Statute or in the Company’s organizational documents, or the effect of any provision of the Rights Agreement, or otherwise cause such restrictions or provisions not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Agreement, the Company and the Company Board may take any one or more of such actions substantially concurrently with the termination of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the Company and Parent shall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The Company shall control the defense or settlement of any stockholder litigation against the Company and/or its directors and officers relating to this Agreement, the Voting Agreement or the Transactions, including the Merger (collectively,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 give Parent reasonable opportunity to participate in, at Parent’s expense, the defense or settlement of any such Stockholder Litigation, (b) consult in good faith with Parent with respect to the defense, settlement and prosecution of any Stockholder Litigation, and (c) direct its counsel to consider in good faith Parent’s comments or suggestions relating to proposed strategy and other significant decisions with respect to such Stockholder Litigation. The Company shall promptly notify Parent of any Stockholder Litigation that is brought or, to the Knowledge of the Company, threatened, and shall keep Parent reasonably and promptly informed on a current basis with respect to the status thereof. Without limiting the generality of the foregoing, the Company shall not settle any Stockholder Litigation without the prior written consent of Parent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The Surviving Corporation shall cause the Company’s securities to be de-listed from the NYSE and de-registered under the Exchange Act as promptly as practicable following the Effective Time, and prior to the Effective Time the Company shall reasonably cooperate with Parent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Parent and Merger Sub, on the one hand, and the Company, on the other hand, shall use their reasonable best efforts to provide the other party with reasonable advance notice of any press release or other public statements or public filings with respect to the Merger, the other Transactions or this Agreement or the Voting Agreement, and shall provide the other party with a reasonable opportunity to review and comment on such press release or other public statements or public filings and consider in good faith any comments with respect thereto. The parties agree that the initial press release to be issued with respect to the Transactions shall be in the form heretofore agreed to by the parties. Notwithstanding the foregoing, without prior consent of the other parties, each party may (a) disseminate information substantially similar to information included in a press release or other document previously approved for public distribution by the other parties (including the Proxy Statement), (b) make a public statement in respect of any Acquisition Proposal or a Company Board Recommendation Change and (c) issue any press release or make any other public statements or public filings as may be required by applicable Law, court process or by obligations pursuant to any listing agreement with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Company Indebtedness</w:t>
      </w:r>
      <w:r>
        <w:rPr>
          <w:rFonts w:ascii="Times New Roman;Times;Serif" w:hAnsi="Times New Roman;Times;Serif"/>
          <w:b w:val="false"/>
          <w:i w:val="false"/>
          <w:caps w:val="false"/>
          <w:smallCaps w:val="false"/>
          <w:sz w:val="20"/>
        </w:rPr>
        <w:t>. The Company shall use, or shall cause its applicable Subsidiaries to use, reasonable best efforts to deliver to Parent at least two (2) Business Days prior to the Closing Date an appropriate and customary payoff letter with respect to the Company Credit Facility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(it being understood and agreed that Parent and Merger Sub shall be responsible for paying all amounts under the Payoff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Financing and 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use its reasonable best efforts to take and shall cause each of its Subsidiaries to use their respective reasonable best efforts to take, or cause to be taken, all actions, and do, or cause to be done, all things necessary, proper or advisable to obtain the proceeds of the Financing in an amount sufficient, together with Parent’s other available sources of funds, to fund the Financing Amount on the date on which the Merger is required to be consummated pursuant to the terms hereof, including by using reasonable best efforts to (i) maintain in effect the Commitment Letters, (ii) negotiate and enter into definitive agreements with respect to the Financing required to pay the Financing Amount (the “</w:t>
      </w:r>
      <w:r>
        <w:rPr>
          <w:rFonts w:ascii="Times New Roman;Times;Serif" w:hAnsi="Times New Roman;Times;Serif"/>
          <w:b w:val="false"/>
          <w:i w:val="false"/>
          <w:caps w:val="false"/>
          <w:smallCaps w:val="false"/>
          <w:sz w:val="20"/>
          <w:u w:val="single"/>
        </w:rPr>
        <w:t>Definitive Agreements</w:t>
      </w:r>
      <w:r>
        <w:rPr>
          <w:rFonts w:ascii="Times New Roman;Times;Serif" w:hAnsi="Times New Roman;Times;Serif"/>
          <w:b w:val="false"/>
          <w:i w:val="false"/>
          <w:caps w:val="false"/>
          <w:smallCaps w:val="false"/>
          <w:sz w:val="20"/>
        </w:rPr>
        <w:t xml:space="preserve">”) consistent with the terms and conditions contained in the Commitment Letters (including, as necessary, the “flex” provisions contained in any related fee letter) and without any Prohibited Modification, (iii) satisfy on a timely basis all conditions required to be satisfied by it in the Commitment Letters and the Definitive Agreements and complying with its obligations thereunder and (iv) enforce its rights under the Commitment Letters and the Definitive Agreements in a timely and diligent manner. Without limiting the generality of the foregoing, in the event that all conditions contained in the Commitment Letters or the Definitive Agreements (other than the consummation of the Merger, those conditions that by their nature are to be satisfied at the Closing and those conditions the failure of which to be satisfied is attributable to a breach by Parent or Merger Sub of its representations, warranties, covenants or agreements contained in this Agreement) have been satisfied, Parent and Merger Sub shall use reasonable best efforts to cause the Financing Entities to comply with their respective obligations thereunder. Neither Parent, Merger Sub nor any of their Subsidiaries shall, without the prior written consent of the Company: (i) permit, consent to or agree to any amendment, replacement, supplement, or modification to, or any waiver of, any provision or remedy under, any Commitment Letter or any Definitive Agreement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Parent’s other available sources of funds, is necessary to satisfy the Financing Amount, or (C) adversely affect the ability of Parent or Merger Sub to enforce its rights against other parties to any Commitment Letter or any Definitive Agreement as so amended, replaced, supplemented or otherwise modified relative to the ability of Parent to enforce its rights against the other parties to the corresponding Commitment Letter as in effect on the date of this Agreement (the effects described in </w:t>
      </w:r>
      <w:r>
        <w:rPr>
          <w:rFonts w:ascii="Times New Roman;Times;Serif" w:hAnsi="Times New Roman;Times;Serif"/>
          <w:b w:val="false"/>
          <w:i w:val="false"/>
          <w:caps w:val="false"/>
          <w:smallCaps w:val="false"/>
          <w:sz w:val="20"/>
          <w:u w:val="single"/>
        </w:rPr>
        <w:t>clauses (A) through (C)</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Prohibited Modifications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 Letters may be amended to add additional lenders, lead arrangers, bookrunners, syndication agents or other entities who had not executed the Commitment Letters as of the date of this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Definitive Agreement. Parent shall promptly deliver to the Company copies of any amendment, replacement, supplement, termination, modification or waiver to the Commitment Letters and/or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any portion of the Financing required to pay the Financing Amount becomes unavailable, regardless of the reason therefor, Parent shall (i) promptly notify the Company in writing of such unavailability and the reason therefor and (ii) subject to the last sentence of this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val="false"/>
          <w:i w:val="false"/>
          <w:caps w:val="false"/>
          <w:smallCaps w:val="false"/>
          <w:sz w:val="20"/>
          <w:u w:val="single"/>
        </w:rPr>
        <w:t>Replacement Financing</w:t>
      </w:r>
      <w:r>
        <w:rPr>
          <w:rFonts w:ascii="Times New Roman;Times;Serif" w:hAnsi="Times New Roman;Times;Serif"/>
          <w:b w:val="false"/>
          <w:i w:val="false"/>
          <w:caps w:val="false"/>
          <w:smallCaps w:val="false"/>
          <w:sz w:val="20"/>
        </w:rPr>
        <w:t xml:space="preserve">”) in an amount sufficient, when taken together with any available portion of the Financing and Parent’s other available sources of funds, to pay the Financing Amount, and which does not include any Prohibited Modifications. Parent shall provide the Company with prompt written notice (i) of any breach, default, cancellation, termination or repudiation by any party to the Commitment Letters or any Definitive Agreement of which Parent becomes aware and (ii) upon receipt of any written notice or other written communication from any Financing Entity with respect to any actual or threatened breach, default, cancellation, termination or repudiation by any party to the Commitment Letters or any Definitive Agreement of any provision thereof. Upon reasonable request therefor, Parent shall keep the Company informed on a reasonably current basis of the status of its efforts to consummate the Financing, including any Replacement Financing. Notwithstanding anything to the contrary contained in this Agreement, nothing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require, and in no event shall the reasonable best efforts of Parent be deemed or construed to require, Parent to pay any fees or any interest rates applicable to the Financing in excess of those contemplated by the Commitment Letters (after giving effect to the “market flex” provisions), or agree to terms materially less favorable to Parent or the Company than the terms contained in or contemplated by the Commitment Letters as of the date of this Agreement (in either case, whether to secure waiver of any conditions contained therein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else in this Agreement to the contrary, in no event shall the receipt or availability of any funds or financing (including, for the avoidance of doubt, the Financing) by Parent, Merger Sub or any of their respective affiliates or any other financing or other transactions be a condition to any of Parent’s or Merger Sub’s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Parent obtains Replacement Financing or amends, replaces, supplements, modifies or waives any of the Commitment Letters or the Definitive Agreements, in each case pursuant to and in accordance with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references to the “Financing,” “Financing Entities,” “Financing Parties,” “Commitment Letters” and “Definitive Agreements” (and other like terms in this Agreement) shall be deemed to refer to such Replacement Financing, the financing sources and/or their related parties in respect thereof, the commitments thereunder and the agreements with respect thereto, or the Financing, as applicable, as so amended, replaced, supplemented modified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Closing, the Company shall use its reasonable best efforts, and shall use its reasonable best efforts to cause its Subsidiaries to use their respective reasonable best efforts, and shall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cooperation shall not unreasonably interfere with the ongoing business operations of the Company and its Subsidiaries), to the extent reasonably requested by Parent in writing, including using reasonable best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historical financial information regarding the Company and its Subsidiaries required pursuant to Sections 3(iii) and 3(iv) of Annex C of the Commitment Letter in respect of the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execute customary authorization letters (containing customary 10b-5 representations, which representations shall be limited to the knowledge of the Company and to information provided by or on behalf of the Company) with respect to the Offering Documents relating to the “bank” financing that authorize the distribution of information to prospective lenders, (B) identify any portion of such information that constitutes material, non-public information regarding the Company or its Subsidiaries or their respective securities, and (C) cause members of senior management of the Company to participate in a reasonable number of customary meetings, presentations, road shows, due diligence sessions, drafting sessions and sessions with rating agencies, at reasonable and mutually agreed times and with reasonable advance notice, and in each case which shall be telephonic or held by videoconference unless otherwise agreed to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one (1) additional meeting, presentation, road show, due diligence session, drafting session and session with rating agencies shall be required in connection with the Replacement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cooperate with the marketing efforts for any of the Financing and (B) assist Parent and the Financing Entities with obtaining ratings as contemplated by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assist Parent and the Financing Entities in their preparation of the Offering Documents and review and comment on Parent’s draft of a business description and a “Management’s Discussion and Analysis” of the financial statements to be included in such Offering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 the event the Financing includes an offering of debt securities, request and facilitate its independent auditors to (A) provide, consistent with customary practice, customary accountant’s comfort letters (including “negative assurance” comfort and change period comfort), together with drafts of such comfort letters that such independent auditors are prepared to deliver upon the “pricing” of any high-yield bonds being issued in connection with the Financing, and consents from the Company’s independent auditors with respect to financial information regarding the Company and its Subsidiaries (it being agreed that the fees and expenses of the Company’s independent auditors incurred in connection with such comfort letters, consents, and other deliverables shall be borne by Parent as provided in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(B) provide reasonable assistance to Parent in connection with Parent’s preparation of pro forma financial statements and pro forma financial information (it being agreed that the Company will not be required to provide any information or assistance relating to (x) the proposed aggregate amount of debt financing, together with assumed interest rates, dividends (if any) and fees and expenses relating to the incurrence of such debt financing, (y) any post-Closing or pro forma cost savings, synergies, capitalization or ownership desired to be incorporated into any information used in connection with the Financing or (z) any financial information related to Parent or any of its Subsidiaries) and (C) attend a reasonable and customary number of accounting due diligence sessions and drafting sessions, which sessions shall be telephonic or held by videoconference and held at reasonable and mutually agreed times; provided that the Company shall not be deemed to be in breach of this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 xml:space="preserve"> solely because the Company’s independent auditors decline to provide any deliverable contemplated by this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its preparation of, and facilitate execution and delivery as of but not prior to the Closing of, definitive financing documents (including any guarantee, pledge and security documents, supplemental indentures, commodity, currency or interest rate or other reasonable hedging arrangement, other definitive financing documents or other certificates or documents (which other certificates or documents shall be consistent with the terms of the Commitment Letters and customary for financings of the type contemplated thereby) as may be reasonably requested by Parent or the Financing Entities (including a certificate of the chief financial officer of the Company with respect to solvency matters (which certificate shall speak only as of the Closing after giving effect to the Transactions, and Parent shall provide the chief financial officer of the Company with all information reasonably necessary to deliver such certificate at least five (5) Business Days prior to the Closing Date) in the form set forth as an exhibit to the Commitment Letters)) and the schedules and exhibits thereto, it being understood that the effectiveness of such documents shall be conditioned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facilitate the pledging of collateral and granting of guarantees for the Financing, including using reasonable best efforts to deliver any original stock certificates (which original stock certificates need not be delivered prior to the Closing) and appropriate instruments of transfer of wholly owned Subsidiaries of the Company that are reasonably available to the Company and constitute collateral for the Financing and providing reasonable and customary assistance to Parent and Merger Sub in connection with Parent’s and Merger Sub’s negotiation of any collateral documents that involve a third party, including landlord waivers, deposit account control agreements, blocked account arrangements or lock box arrangements, if applicable (it being understood that (x) the Company shall not be required to guarantee receipt of any third-party consents, (y) the costs and expenses associated with obtaining such third-party consents shall be borne by Parent in accordance with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and (z) the Company shall not be required to make any payments or grant any concessions to any third party in connection therewith); it being understood in each case that the effectiveness of such pledges and other documents shall be conditioned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furnish Parent and the Financing Entities at least five (5) Business Days prior to the Closing Date (solely to the extent requested by Parent in writing at least ten (10) Business Days prior to the Closing Date) with all documentation and other information related to the Company and its Subsidiaries required by Governmental Entities with respect to the Financing under applicable “know your customer” and anti-money laundering rules and regulations, including, without limitation, the Uniting and Strengthening America by Providing Appropriate Tools Required to Intercept and Obstruct Terrorism Act of 2001, as amended and the requirements of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solely with respect to financial information and data derived from the Company’s historical books and records, provide reasonable and customary assistance to Parent with the preparation of pro forma financial information and pro forma financial statements to the extent reasonably requested by Parent or the Financing Entities and customary to be included in any marketing materials or Offering Documents or of the type required by the Commitment Letters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and its Subsidiaries shall not be responsible for the preparation of any pro forma financial statements or pro forma adjustments thereto and, for the avoidance of doubt, shall not be obligated to provide any Excluded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facilitate the taking, no earlier than the Closing, of customary corporate approvals, reasonably requested by Parent to permit the consummation of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action shall be required of the Company Board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cooperate in satisfying the conditions precedent set forth in the Commitment Letters as in effect as of the date of this Agreement or any definitive document relating to the Financing with conditions precedent no more onerous than those set forth in the Commitment Letters as in effect as of the date of this Agreement to the extent the satisfaction of such condition requires the cooperation of, or is within the control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 ensure that the Financing Entities and their advisors and consultants shall have customary and reasonable access (subject to advance notice of at least three (3) Business Days), at mutually agreed times and places and on a reasonable and customary number of occasions to the Company’s and its Subsidiaries’ books and records and relevant officers to evaluate the Company’s and its Subsidiaries’ current assets, inventory, cash management and accounting systems, policies and procedures relating thereto for the purposes of Parent and Merger Sub establishing collateral arrangements as of the Closing, and provide customary assistance with other collateral audits, collateral appraisals and due diligence examinations customary for financing of the type consistent with the Financing, at mutually agreed times and places (provided that such access shall not unreasonably disrupt the normal business operations of the Company and its Subsidiaries); and (B) participate, and cause its Subsidiaries and their respective Representatives to participate, in due diligence sessions as reasonably requested by Parent, in connection with the transactions contemplated by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 connection with the Company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in cooperation with Parent, commence and conduct, in accordance with the terms of the applicable Indenture, one or more offers to purchase, including any “Change of Control Offer” (as such term is defined in each applicable Indenture), and/or any tender offer, or any exchange offer, and to conduct one or more consent solicitations, if any (each, a “</w:t>
      </w:r>
      <w:r>
        <w:rPr>
          <w:rFonts w:ascii="Times New Roman;Times;Serif" w:hAnsi="Times New Roman;Times;Serif"/>
          <w:b w:val="false"/>
          <w:i w:val="false"/>
          <w:caps w:val="false"/>
          <w:smallCaps w:val="false"/>
          <w:sz w:val="20"/>
          <w:u w:val="single"/>
        </w:rPr>
        <w:t>Debt Offer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with respect to any or all of the outstanding aggregate principal amount of the Company Notes identified by Parent to the Company in writing after the date of this Agreement on terms that are acceptable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Debt Offer shall be (x) in compliance with applicable Law, the terms of the applicable Indenture and the terms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(y) at the sole expense of Parent and (z) consummated using funds of Parent), and (B) provide all assistance and take any actions reasonably requested by Parent that are customary or necessary in connection with the foregoing (including delivering and using reasonable best efforts to cause counsel for the Company to deliver, as applicable, to the dealer manager for any such Debt Offer and/or the trustee under the applicable Indenture and/or the holders of the Company Notes customary officer’s certificates, supplemental indentures and legal opinions and 10b-5 letters);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Company shall not be required to commence any applicable Debt Offer until Parent shall have provided the Company with the necessary offer to purchase, offer to exchange, consent solicitation statement, letter of transmittal and press release, in each case if any, in connection therewith and each other document relevant to such transaction that will be distributed by the Company to holders of the Company Notes in the applicable Debt Offer (collectively, the “</w:t>
      </w:r>
      <w:r>
        <w:rPr>
          <w:rFonts w:ascii="Times New Roman;Times;Serif" w:hAnsi="Times New Roman;Times;Serif"/>
          <w:b w:val="false"/>
          <w:i w:val="false"/>
          <w:caps w:val="false"/>
          <w:smallCaps w:val="false"/>
          <w:sz w:val="20"/>
          <w:u w:val="single"/>
        </w:rPr>
        <w:t>Debt Offer Documents</w:t>
      </w:r>
      <w:r>
        <w:rPr>
          <w:rFonts w:ascii="Times New Roman;Times;Serif" w:hAnsi="Times New Roman;Times;Serif"/>
          <w:b w:val="false"/>
          <w:i w:val="false"/>
          <w:caps w:val="false"/>
          <w:smallCaps w:val="false"/>
          <w:sz w:val="20"/>
        </w:rPr>
        <w:t>”) with a reasonable period of time in advance of commencing the applicable Debt Offer to allow the Company and its counsel to review and comment on the related Debt Offer Documents (in each case, at Parent’s sole expense), which comments shall be considered by Parent in good faith and (y) the closing of any Debt Offers shall expressly conditioned 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extent any Debt Offer includes a consent solicitation, in cooperation with Parent, (A) solicit any consent deemed appropriate by Parent from the holders of the Company Notes to amend the applicable Indentures governing such Company Notes (each such solicitation, a “</w:t>
      </w:r>
      <w:r>
        <w:rPr>
          <w:rFonts w:ascii="Times New Roman;Times;Serif" w:hAnsi="Times New Roman;Times;Serif"/>
          <w:b w:val="false"/>
          <w:i w:val="false"/>
          <w:caps w:val="false"/>
          <w:smallCaps w:val="false"/>
          <w:sz w:val="20"/>
          <w:u w:val="single"/>
        </w:rPr>
        <w:t>Consent Solicitation</w:t>
      </w:r>
      <w:r>
        <w:rPr>
          <w:rFonts w:ascii="Times New Roman;Times;Serif" w:hAnsi="Times New Roman;Times;Serif"/>
          <w:b w:val="false"/>
          <w:i w:val="false"/>
          <w:caps w:val="false"/>
          <w:smallCaps w:val="false"/>
          <w:sz w:val="20"/>
        </w:rPr>
        <w:t>”), (B) execute and deliver or cause to be executed and delivered, at or prior to the Effective Time, such documents, instruments, supplemental indentures and/or notices as may be required under the Company Notes pursuant to the Indentures as a direct result of the Merger or any Consent Solicitation and use reasonable best efforts to obtain the execution of such instruments by the other parties required to execute such instruments and (C) provide all assistance and take any actions reasonably requested by Parent that are customary or necessary in connection with the foregoing (including delivering and using reasonable best efforts to cause counsel for the Company to deliver, as applicable, to the solicitation agent for any such Consent Solicitation and/or the trustee under the applicable Indenture and/or the holders of the Company Notes customary officer’s certificates, supplemental indentures and legal opinions and 10b-5 letters);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written request of Parent, in lieu of or in addition to commencing any Debt Offers for the Company Notes, subject to applicable Law and the terms of the applicable Indenture, in cooperation with Parent, (A) send any notices of redemption with respect to all or a portion of the outstanding aggregate principal amount of the Company Notes (which shall be in the form required under the applicable Indenture and subject to any conditions specified by Parent) to the applicable trustee under the Indentures, (B) take such actions as may be required under the applicable Indenture to cause such trustee to proceed with the redemption of the applicable Company Notes and to provide the notice of redemption to the holders of such Company Notes pursuant to the applicable Indenture, and (C) execute and deliver all other documents required under the applicable Indenture to issue notices of redemption for such Company Notes in accordance with the applicable Indenture, providing (x) for the redemption on the date as shall be specified by Parent of such Company Notes or (y) for satisfaction and discharge of the applicable Indenture, pursuant to the requisite provisions of the applicable Indenture (the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notwithstanding anything in this Agreement to the contrary, any such Redemptions or satisfaction and discharge must be conditioned on the occurrence of the Closing (it being understood and agreed that Parent and Merger Sub shall be responsible for paying all amounts in connection with the Redemptions) and (II) the notices of redemption delivered to the applicable trustee and holders of the Company Notes may state that the redemption date may be delayed until such time as any condition to redemption stated therein shall be satisfied or such Redemption may not occur and such notice may be rescinded in the event such condition shall not have been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be solely responsible for preparing or causing to prepare drafts of all notices, officer’s certificates, offers to purchase or exchange, consent solicitation statements, letters of transmittal, documents, instruments, supplemental indentures or other materials contemplated by this </w:t>
      </w:r>
      <w:r>
        <w:rPr>
          <w:rFonts w:ascii="Times New Roman;Times;Serif" w:hAnsi="Times New Roman;Times;Serif"/>
          <w:b w:val="false"/>
          <w:i w:val="false"/>
          <w:caps w:val="false"/>
          <w:smallCaps w:val="false"/>
          <w:sz w:val="20"/>
          <w:u w:val="single"/>
        </w:rPr>
        <w:t>Section 5.15(e)(xiii)</w:t>
      </w:r>
      <w:r>
        <w:rPr>
          <w:rFonts w:ascii="Times New Roman;Times;Serif" w:hAnsi="Times New Roman;Times;Serif"/>
          <w:b w:val="false"/>
          <w:i w:val="false"/>
          <w:caps w:val="false"/>
          <w:smallCaps w:val="false"/>
          <w:sz w:val="20"/>
        </w:rPr>
        <w:t xml:space="preserve"> in connection with the Debt Offers, Consent Solicitation and/or Redemptions and for the costs and expenses incurred in connection with obligations contemplated hereby as further provided in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and will provide or cause to be provided such drafts to the Company for execution and delivery pursuant to this </w:t>
      </w:r>
      <w:r>
        <w:rPr>
          <w:rFonts w:ascii="Times New Roman;Times;Serif" w:hAnsi="Times New Roman;Times;Serif"/>
          <w:b w:val="false"/>
          <w:i w:val="false"/>
          <w:caps w:val="false"/>
          <w:smallCaps w:val="false"/>
          <w:sz w:val="20"/>
          <w:u w:val="single"/>
        </w:rPr>
        <w:t>Section 5.15(e)(xiii)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foregoing notwithstanding, none of the Company nor any of its Subsidiaries or their respective Representatives shall be required to take or permit the taking of any action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that would: (i) 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authorization letters delivered pursuant to </w:t>
      </w:r>
      <w:r>
        <w:rPr>
          <w:rFonts w:ascii="Times New Roman;Times;Serif" w:hAnsi="Times New Roman;Times;Serif"/>
          <w:b w:val="false"/>
          <w:i w:val="false"/>
          <w:caps w:val="false"/>
          <w:smallCaps w:val="false"/>
          <w:sz w:val="20"/>
          <w:u w:val="single"/>
        </w:rPr>
        <w:t>Section 5.15(e)(ii)</w:t>
      </w:r>
      <w:r>
        <w:rPr>
          <w:rFonts w:ascii="Times New Roman;Times;Serif" w:hAnsi="Times New Roman;Times;Serif"/>
          <w:b w:val="false"/>
          <w:i w:val="false"/>
          <w:caps w:val="false"/>
          <w:smallCaps w:val="false"/>
          <w:sz w:val="20"/>
        </w:rPr>
        <w:t xml:space="preserve">, or customary management representation letters required by the Company’s auditors in connection with the delivery of “comfort letters” as set forth in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 xml:space="preserve">), in each,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(ii) cause any representation or warranty in this Agreement to be breached by the Company or any of its Subsidiaries, (iii) reasonably be expected to prevent, materially delay or materially impair the satisfaction of any of the conditions to the Closing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otherwise result in a breach of this Agreement, (iv) conflict with or violate any fiduciary duty applicable to any Representative of the Company; (v) 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(vi) reasonably be expected to cause any director, officer, employee or stockholder of the Company or any of its Subsidiaries to incur any personal liability, (vii) reasonably be expected to conflict with the organizational documents of the Company or any of its Subsidiaries or any Laws, (viii) reasonably be expected to result in a material violation or breach of, or a default (with or without notice, lapse of time, or both) under, any material Contract (including confidentiality provisions therein), (ix) 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(x) require the Company or any of its Subsidiaries or any of their respective Representatives to prepare or deliver any Excluded Information, (xi) unreasonably interfere with the ongoing business operations of the Company or any of its Subsidiaries, be unduly burdensome or create a risk of damage or destruction to any property or assets of the Company or any of its Subsidiaries, (xii) waive or amend any terms of this Agreement or agree, subject to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hereof, to pay any fees or reimburse any expenses for which it has not received prior reimbursement, (xiii) give any indemnities or (xiv) take any action which would contravene any position taken in any tax return or financial statements. Nothing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or otherwise in this Agreement shall require the Company or any of its Subsidiaries, prior to the Closing, to be an issuer or other obligor with respect to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Parent shall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cooperation pursuant to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 xml:space="preserve">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 transactions contemplated by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any action taken by them at the request of Parent or its Representatives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be kept confidential in accordance with the Nondisclosure Agreement. The Company hereby consents to the use of its and its Subsidiaries’ logos in connection with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trademarks and logos are used solely in a manner that is not intended to or reasonably likely to harm or disparage the Company or any of its Subsidiaries or the reputation or goodwill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parties acknowledge and agree that (i) the provisions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represent the sole obligation of the Company and its Subsidiaries and their respective Representatives with respect to cooperation in connection with the arrangement of any financing (including the Financing) to be obtained by Parent or Merger Sub with respect to the Transactions and no other provision of this Agreement (including the Exhibits hereto and the Disclosure Schedules) shall be deemed to expand or modify such obligations, and (ii) notwithstanding anything to the contrary in this Agreement, the Company’s or any of its Subsidiaries’ breach of any of the covenants required to be performed by it under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not be considered in determining the satisfaction of the condition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unless such breach is the primary cause of Parent being unable to obtain the proceeds of the Financing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will promptly notify Parent in writing, and Parent will promptly notify the Company in writing, as applicable, after receiving or becoming aware of (a) any written notice or other communication from any Person alleging that the consent or waiver of such Person is or may be required in connection with the Transactions, if the failure of such party to obtain such consent or waiver could reasonably be expected to be material to the Company, the Surviving Corporation or Parent, as the case may be (and the response thereto from Parent or the Company, as the case may be ), (b) the occurrence, or non-occurrence, of any event which could be reasonably likely to cause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the case of the Company as the notifying party)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(in the case of Parent as the notifying party) to not be met and (c) any Proceeding commenced or, to its knowledge, threatened against, relating to or otherwise involving Parent or any Parent Subsidiaries (if Parent is the notifying party) or the Company or any of its Subsidiaries (if the Company is the notifying party) that relates to the consummation of the Transactions. The delivery of any notice pursuant to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will not (i) limit, modify or otherwise affect any of the representations, warranties, covenants, agreements or conditions contained in this Agreement, (ii) limit or otherwise affect the rights or remedies of Parent or the Company, (iii) be deemed to affect or modify Parent’s or Merger Sub’s reliance on the representations, warranties, covenants and agreements made by the Company in this Agreement or the Company’s reliance on the representations, warranties, covenants, and agreements made by Parent and Merger Sub in this Agreement or (iv) be deemed to amend or supplement the Disclosure Schedules or prevent or cure any misrepresentation, breach of warranty or breach of covenant by the Company,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Certain Arrangements</w:t>
      </w:r>
      <w:r>
        <w:rPr>
          <w:rFonts w:ascii="Times New Roman;Times;Serif" w:hAnsi="Times New Roman;Times;Serif"/>
          <w:b w:val="false"/>
          <w:i w:val="false"/>
          <w:caps w:val="false"/>
          <w:smallCaps w:val="false"/>
          <w:sz w:val="20"/>
        </w:rPr>
        <w:t>. Without the prior consent of the Company Board, neither Parent, Merger Sub nor any of their respective affiliates, or any other Person on behalf of Parent or Merger Sub or their respective affiliates, directly or indirectly, shall,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(ii) holder of Shares agrees to approve this Agreement or vote against any Superior Proposal; or (iii) any stockholder, director or officer agrees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Conditions to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Conditions to Obligations of Each Party Under This Agreement</w:t>
      </w:r>
      <w:r>
        <w:rPr>
          <w:rFonts w:ascii="Times New Roman;Times;Serif" w:hAnsi="Times New Roman;Times;Serif"/>
          <w:b w:val="false"/>
          <w:i w:val="false"/>
          <w:caps w:val="false"/>
          <w:smallCaps w:val="false"/>
          <w:sz w:val="20"/>
        </w:rPr>
        <w:t>. The respective obligations of each party to consummate the Merger shall be subject to the satisfaction (or waiver by Parent and the Company, if permissible under Law)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Requisite Company Stockholder Approval</w:t>
      </w:r>
      <w:r>
        <w:rPr>
          <w:rFonts w:ascii="Times New Roman;Times;Serif" w:hAnsi="Times New Roman;Times;Serif"/>
          <w:b w:val="false"/>
          <w:i w:val="false"/>
          <w:caps w:val="false"/>
          <w:smallCaps w:val="false"/>
          <w:sz w:val="20"/>
        </w:rPr>
        <w:t>. The Requisite Company Stockholder Approval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xml:space="preserve">. No outstanding Order or Law enacted, promulgated, issued, entered, amended or enforced by any Governmental Entity that restrains, enjoins or otherwise prohibits or makes illegal the consummation of the Transactions shall be in effect (each restraint described by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Closing Legal Impediment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The waiting period under the HSR Act and all timing agreements or commitments with or made to any Governmental Entity in connection with any Proceeding under any Antitrust Law to delay or not to consummate the Transactions prior to a certain date, circumstance or event,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Conditions to Obligations of the Company Under This Agreement</w:t>
      </w:r>
      <w:r>
        <w:rPr>
          <w:rFonts w:ascii="Times New Roman;Times;Serif" w:hAnsi="Times New Roman;Times;Serif"/>
          <w:b w:val="false"/>
          <w:i w:val="false"/>
          <w:caps w:val="false"/>
          <w:smallCaps w:val="false"/>
          <w:sz w:val="20"/>
        </w:rPr>
        <w:t>. The obligation of the Company to effect the Merger is further subject to the satisfaction (or waiver by the Company)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Parent and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(disregarding all qualifications or limitations as to “materiality” and words of similar import set forth therein) as of the date of this Agreement and as of the Closing Date with the same effect as though made as of the Closing Date (except to the extent expressly made as of an earlier date, in which case as of such earlier date), except where any failure to be so true and correct has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shall have performed in all material respects the covenants and agreements required to be performed by them under this Agreement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have delivered to the Company a certificate, dated the Closing Date and signed by the chief executive officer or the chief financial officer of Parent, certifying to the effect that the conditions set forth in </w:t>
      </w:r>
      <w:r>
        <w:rPr>
          <w:rFonts w:ascii="Times New Roman;Times;Serif" w:hAnsi="Times New Roman;Times;Serif"/>
          <w:b w:val="false"/>
          <w:i w:val="false"/>
          <w:caps w:val="false"/>
          <w:smallCaps w:val="false"/>
          <w:sz w:val="20"/>
          <w:u w:val="single"/>
        </w:rPr>
        <w:t>Sections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Conditions to Obligations of Parent and Merger Sub Under This Agreement</w:t>
      </w:r>
      <w:r>
        <w:rPr>
          <w:rFonts w:ascii="Times New Roman;Times;Serif" w:hAnsi="Times New Roman;Times;Serif"/>
          <w:b w:val="false"/>
          <w:i w:val="false"/>
          <w:caps w:val="false"/>
          <w:smallCaps w:val="false"/>
          <w:sz w:val="20"/>
        </w:rPr>
        <w:t>. The obligations of Parent and Merger Sub to effect the Merger are further subject to the satisfaction (or waiver by Parent)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the Company (i)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the first sentence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shall be true and correct in all respects (except, in the case of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(relative to the total fully-diluted equity capitalization of the Company)), as of the date of this Agreement and as of the Closing Date with the same effect as though made as of the Closing Date (except to the extent expressly made as of an earlier date, in which case as of such earlier date), (ii) set forth in the Company Fundamental Representations (other than the representations and warranties listed in the immediately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be true and correct in all material respects, as of the date of this Agreement and as of the Closing Date with the same effect as though made as of the Closing Date (except to the extent expressly made as of an earlier date, in which case as of such earlier date), and (iii)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the representations and warranties listed in the immediately preceding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be true and correct in all respects (disregarding all qualifications or limitations as to “materiality” or “Company Material Adverse Effect” set forth therein) as of the date of this Agreement and as of the Closing Date with the same effect as though made as of the Closing Date (except to the extent expressly made as of an earlier date, in which case as of such earlier date), except,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where the failure to be so true and correct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performed in all material respects the covenants and agreements required to be performed by it under this Agreement at or prior to the Closin</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have delivered to Parent a certificate, dated the Closing Date and signed by the chief executive officer or the chief financial officer of the Company, certifying to the effect that the conditions set forth in </w:t>
      </w:r>
      <w:r>
        <w:rPr>
          <w:rFonts w:ascii="Times New Roman;Times;Serif" w:hAnsi="Times New Roman;Times;Serif"/>
          <w:b w:val="false"/>
          <w:i w:val="false"/>
          <w:caps w:val="false"/>
          <w:smallCaps w:val="false"/>
          <w:sz w:val="20"/>
          <w:u w:val="single"/>
        </w:rPr>
        <w:t>Sections 6.3(a)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Termination, Amendment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and the other Transactions may be abandoned at any time prior to the Effective Time, whether before or (subject to the terms hereof) after receipt of the Requisite Company Stockholder Approval, by action taken or authorized by the board of directors or similar governing body of the terminating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Effective Time has not occurred by 11:59 p.m., Eastern time, on February 6, 2027 (such date, as it may be mutually extended in writing by Parent and the Company, or automatically extended pursuant to this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9.11(d)</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as of February 6, 2027, the conditions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shall not have been satisfied but all of the other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have been satisfied or waived (or in the case of conditions that by their nature are to be satisfied at the Closing, shall be capable of being satisfied on such date), then the Outside Date shall automatically be extended to May 6, 2027, which date shall thereafter be deemed to be the Outside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neither party (treating Parent and Merger Sub as one party for this purpose) shall be entitled to terminate this Agreement pursuant to this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if such party’s breach of this Agreement has been the principal cause of the failure of the Closing to occur prior to the Outside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the Company, prior to the time at which the Requisite Company Stockholder Approval has been obtained, in order to enter into an Alternative Acquisition Agreement providing for a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Company has complied in all respects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(subject to the standard specified in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xml:space="preserve">), (ii) the Company concurrently with the termination enters into the Alternative Acquisition Agreement related to such Superior Proposal, and (iii) the Company shall prior to or concurrently with (and as a condition to) such termination pay the Company Termination Fee to or for the account of Parent pursuant to </w:t>
      </w:r>
      <w:r>
        <w:rPr>
          <w:rFonts w:ascii="Times New Roman;Times;Serif" w:hAnsi="Times New Roman;Times;Serif"/>
          <w:b w:val="false"/>
          <w:i w:val="false"/>
          <w:caps w:val="false"/>
          <w:smallCaps w:val="false"/>
          <w:sz w:val="20"/>
          <w:u w:val="single"/>
        </w:rPr>
        <w:t>Section 7.2(a)(i)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prior to the time at which the Requisite Company Stockholder Approval has been obtained, if the Company Board shall have effected a Change of Recommendation, whether or not in compliance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the Company Meeting (as it may be adjourned or postponed in accordance with this Agreement) shall have concluded and the Requisite Company Stockholder Approval shall not have been obtained at such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shall not be available to any party (treating Parent and Merger Sub as one party for this purpose) whose breach of this Agreement has been the principal cause of the failure to obtain the Requisite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either the Company or Parent, if there is in effect any final, non-appealable Closing Legal Impediment;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neither Parent nor the Company may terminate this Agreement pursuant to this </w:t>
      </w:r>
      <w:r>
        <w:rPr>
          <w:rFonts w:ascii="Times New Roman;Times;Serif" w:hAnsi="Times New Roman;Times;Serif"/>
          <w:b w:val="false"/>
          <w:i w:val="false"/>
          <w:caps w:val="false"/>
          <w:smallCaps w:val="false"/>
          <w:sz w:val="20"/>
          <w:u w:val="single"/>
        </w:rPr>
        <w:t>Section 7.1(f)</w:t>
      </w:r>
      <w:r>
        <w:rPr>
          <w:rFonts w:ascii="Times New Roman;Times;Serif" w:hAnsi="Times New Roman;Times;Serif"/>
          <w:b w:val="false"/>
          <w:i w:val="false"/>
          <w:caps w:val="false"/>
          <w:smallCaps w:val="false"/>
          <w:sz w:val="20"/>
        </w:rPr>
        <w:t> if a breach of Parent’s (treating Parent and Merger Sub as one party for this purpose) or the Company’s, respectively, obligations under this Agreement has been the principal cause of the entry of such Closing Legal Impediment;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the Company has breached any of its representations or warranties or failed to perform any of its covenants or other agreements contained in this Agreement, such that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would not be satisfied and such breach or failure to perform shall not have been cured prior to the earlier of (i) thirty (30) Business Days after Parent provided written notice of such breach to the Company and (ii) the third Business Day prior to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may not terminate this Agreement pursuant to this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if at such time, Parent or Merger Sub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Parent or Merger Sub shall have breached any of their representations or warranties or failed to perform any of their covenants or other agreements contained in this Agreement, such that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6.2 </w:t>
      </w:r>
      <w:r>
        <w:rPr>
          <w:rFonts w:ascii="Times New Roman;Times;Serif" w:hAnsi="Times New Roman;Times;Serif"/>
          <w:b w:val="false"/>
          <w:i w:val="false"/>
          <w:caps w:val="false"/>
          <w:smallCaps w:val="false"/>
          <w:sz w:val="20"/>
        </w:rPr>
        <w:t xml:space="preserve">would not be satisfied and such breach or failure to perform shall not have been cured prior to the earlier of (i) thirty (30) Business Days after the Company provided written notice of such breach to Parent and (ii) the third Business Day prior to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not terminate this Agreement pursuant to this </w:t>
      </w:r>
      <w:r>
        <w:rPr>
          <w:rFonts w:ascii="Times New Roman;Times;Serif" w:hAnsi="Times New Roman;Times;Serif"/>
          <w:b w:val="false"/>
          <w:i w:val="false"/>
          <w:caps w:val="false"/>
          <w:smallCaps w:val="false"/>
          <w:sz w:val="20"/>
          <w:u w:val="single"/>
        </w:rPr>
        <w:t>Section 7.1(h)</w:t>
      </w:r>
      <w:r>
        <w:rPr>
          <w:rFonts w:ascii="Times New Roman;Times;Serif" w:hAnsi="Times New Roman;Times;Serif"/>
          <w:b w:val="false"/>
          <w:i w:val="false"/>
          <w:caps w:val="false"/>
          <w:smallCaps w:val="false"/>
          <w:sz w:val="20"/>
        </w:rPr>
        <w:t xml:space="preserve"> if at such time, the Company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or cause to be paid to Parent (or its designee) the Company Termination Fee if any of the following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terminated by the Company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terminated by Parent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either Parent or the Company terminates this Agreement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xml:space="preserve">, or Parent terminates this Agreement pursuant to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due to a breach of, or a failure to perform or comply with, one or more covenants or agreements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(B)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all references to “15%” in the definition of “Acquisition Proposal” will be deemed to be references to “50%”) has been publicly disclosed or, in the case of termination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made known to the Company Board after the date of this Agreement and, if publicly disclosed, has not been publicly withdrawn (x) in the case of termination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prior to the Outside Date or (y) in the case of termination pursuant to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at least two (2) Business Days prior to the date of the Company Meeting, and (C) within twelve (12) months after such termination, the Company and/or its Subsidiaries shall have entered into a definitive agreement with respect to, or consummated,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Company Termination Fee due under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paid to Parent (or its designee) by wire transfer of same-day funds (i) in the case of </w:t>
      </w:r>
      <w:r>
        <w:rPr>
          <w:rFonts w:ascii="Times New Roman;Times;Serif" w:hAnsi="Times New Roman;Times;Serif"/>
          <w:b w:val="false"/>
          <w:i w:val="false"/>
          <w:caps w:val="false"/>
          <w:smallCaps w:val="false"/>
          <w:sz w:val="20"/>
          <w:u w:val="single"/>
        </w:rPr>
        <w:t>Section 7.2(a)(i)</w:t>
      </w:r>
      <w:r>
        <w:rPr>
          <w:rFonts w:ascii="Times New Roman;Times;Serif" w:hAnsi="Times New Roman;Times;Serif"/>
          <w:b w:val="false"/>
          <w:i w:val="false"/>
          <w:caps w:val="false"/>
          <w:smallCaps w:val="false"/>
          <w:sz w:val="20"/>
        </w:rPr>
        <w:t xml:space="preserve">, substantially concurrently with such termination, (ii) in the case of </w:t>
      </w:r>
      <w:r>
        <w:rPr>
          <w:rFonts w:ascii="Times New Roman;Times;Serif" w:hAnsi="Times New Roman;Times;Serif"/>
          <w:b w:val="false"/>
          <w:i w:val="false"/>
          <w:caps w:val="false"/>
          <w:smallCaps w:val="false"/>
          <w:sz w:val="20"/>
          <w:u w:val="single"/>
        </w:rPr>
        <w:t>Section 7.2(a)(ii)</w:t>
      </w:r>
      <w:r>
        <w:rPr>
          <w:rFonts w:ascii="Times New Roman;Times;Serif" w:hAnsi="Times New Roman;Times;Serif"/>
          <w:b w:val="false"/>
          <w:i w:val="false"/>
          <w:caps w:val="false"/>
          <w:smallCaps w:val="false"/>
          <w:sz w:val="20"/>
        </w:rPr>
        <w:t xml:space="preserve">, within two (2) Business Days after such termination and (iii) in the case of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xml:space="preserve">, within three (3) Business Days after the entry into the definitive agreement with respect to, or consummation of, the Acquisition Proposal described in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(it being understood that in no event shall the Company be required to pay the Company Termination Fee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acknowledges that the agreements contained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are an integral part of the Transactions and that, without these agreements, the parties would not enter into this Agreement. Each party further acknowledges that the Company Termination Fee if, as and when required to be paid, is not a penalty, but rather is liquidated damages in a reasonable amount that will compensate Parent and Merger Sub in the circumstances in which the Company Termination Fee is payable, and which do not involve actual and intentional fraud or Willful and Material Breach,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then (i) the Company shall reimburse Parent for all reasonable and documented out-of-pocket costs and expenses (including disbursements and fees of counsel) incurred in the collection of such overdue amounts, including in connection with any related claims, actions or proceedings commenced and (ii) the Company shall pay to Parent interest on the amounts payable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from and including the date payment of such amounts were due to but excluding the date of actual payment at the prime rate set forth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in effect on the date such payment was required to be made or a lesser rate that is the maximum then-permitted by applicable Law. Notwithstanding anything to the contrary in this Agreement, except the right to seek monetary damages for actual and intentional fraud or for Willful and Material Breach occurring prior to the valid termination of this Agreement, and without limiting Parent’s or Merger Sub’s right to specific performance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(A) the Company Termination Fee (and any other amounts expressly contemplated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if any) shall be the sole and exclusive remedy available to Parent, its Subsidiaries (including Merger Sub), any financing sources of Parent or its Subsidiaries (including the Financing Parties),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against the Company, its Subsidiaries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for any loss or damage suffered as a result of the failure of the Merger and the other Transactions to be consummated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Company Related Parties shall have any further liability or obligation, whether in equity or at law, in contract, in tort or otherwise, in each case, in connection with this Agreement and the Transactions in circumstances in which the Company Termination Fee becomes due and payable and is paid in accordance with this Agreement, and (B) upon Parent’s receipt of the full Company Termination Fee (and any other amounts expressly contemplated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if any) pursuant to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in circumstances in which the Company Termination Fee is payable, none of the Company Related Parties shall have any further liability or obligation relating to or arising out of this Agreement or the Transactions. For the avoidance of doubt, (a) Parent may seek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the payment of the Company Termination Fee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but in no event shall Parent be entitled to both (i)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(ii) the payment of the Company Termination Fee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(b) the Company may pursue both a grant of specific performance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the payment of other monetary damages, but in no event shall Parent or Merger Sub be obligated to both (i) specifically perform the terms of this Agreement and (ii) pay other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Notwithstanding anything to the contrary in this Agreement, in the event this Agreement is validly terminated by either Parent or the Company as provided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provisions of this Agreement shall immediately become void and of no further force and effect, except (a) no such termination shall relieve Parent or Merger Sub of any liability to pay the amount of any indemnification and expense reimbursement payable if, as and when required pursuant to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(b) no such termination shall relieve any party for liability for such party’s actual and intentional fraud or Willful and Material Breach of any covenant or agreement of this Agreement prior to its termination (including, in the case of a breach by Parent or Merger Sub, and pursuant to Section 261(a)(1) of the DGCL, damages payable to the Company based on the loss of the premium or right to receive the Merger Consideration that the stockholders of the Company would have received if the Merger were consummated pursuant to the terms of this Agreement (“</w:t>
      </w:r>
      <w:r>
        <w:rPr>
          <w:rFonts w:ascii="Times New Roman;Times;Serif" w:hAnsi="Times New Roman;Times;Serif"/>
          <w:b w:val="false"/>
          <w:i w:val="false"/>
          <w:caps w:val="false"/>
          <w:smallCaps w:val="false"/>
          <w:sz w:val="20"/>
          <w:u w:val="single"/>
        </w:rPr>
        <w:t>Benefit of the Bargain Damages</w:t>
      </w:r>
      <w:r>
        <w:rPr>
          <w:rFonts w:ascii="Times New Roman;Times;Serif" w:hAnsi="Times New Roman;Times;Serif"/>
          <w:b w:val="false"/>
          <w:i w:val="false"/>
          <w:caps w:val="false"/>
          <w:smallCaps w:val="false"/>
          <w:sz w:val="20"/>
        </w:rPr>
        <w:t xml:space="preserve">”)) and (c) the Nondisclosure Agreement,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the definitions of any defined terms contained in such Articles and Sections), shall survive the termination of this Agreement. For the avoidance of doubt, (x) prior to the Effective Time, only the Company (and not stockholders of the Company) may bring an action pursuing liability against Parent or Merger Sub for Willful and Material Breach of this Agreement and (y) the Company may retain, without distribution to stockholders, any Benefit of the Bargain Damages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an agreement with the Company or its Subsidiaries that is either (a) in effect as of the date of this Agreement or (b) executed, delivered and effective after the date of this Agreement that contains terms that (i) are no less favorable in any material respect to the Company than those contained in the Nondisclosure Agreement (it being understood that such confidentiality agreement need not contain a “standstill” or similar provision) and (ii) do not in any way restrict the Company (or its Representatives) from complying with any of the provisions of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other than a proposal made by Parent or its affiliates with respect to the Transactions,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when used with respect to a specified Person, a Person that, directly or indirectly, through one or more intermediaries, controls, is controlled by or is under common control with such specified Person. As used in this definition, the term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or its Subsidiaries be considered an affiliate of Parent, Merger Sub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any Law related to combating bribery and corruption, including legislation implementing the OECD Convention on Combating Bribery of Foreign Officials in International Business Transactions or the U.N. Convention Against Corruption, the U.S. Foreign Corrupt Practices Act of 1977, as amended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and the U.K. Bribery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applicable Law relating to money laundering, including the U.S. Bank Secrecy Act, as amended by the USA PATRIOT Act, 2000 Prohibition of Financing of Terrorism Law, 5765-2005 and Combating Criminal Organizations Law, 5763-2003.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w:t>
      </w:r>
      <w:r>
        <w:rPr>
          <w:rFonts w:ascii="Times New Roman;Times;Serif" w:hAnsi="Times New Roman;Times;Serif"/>
          <w:b w:val="false"/>
          <w:i w:val="false"/>
          <w:caps w:val="false"/>
          <w:smallCaps w:val="false"/>
          <w:sz w:val="20"/>
        </w:rPr>
        <w:t>” means the Sherman Act, as amended, the Clayton Act, as amended, the HSR Act, the Federal Trade Commission Act, as amended, and all other Laws of any jurisdiction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a Sunday or other day on which banks in the City of New York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Community</w:t>
      </w:r>
      <w:r>
        <w:rPr>
          <w:rFonts w:ascii="Times New Roman;Times;Serif" w:hAnsi="Times New Roman;Times;Serif"/>
          <w:b w:val="false"/>
          <w:i w:val="false"/>
          <w:caps w:val="false"/>
          <w:smallCaps w:val="false"/>
          <w:sz w:val="20"/>
        </w:rPr>
        <w:t>” means a residential community with respect to which the Company or any of its Subsidiaries has owned, currently owns or is under contract to acquire real property and was previously, is presently, or is anticipated in the future to be, engaged in the development of Residential Lots and/or the construction of Residential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Awards</w:t>
      </w:r>
      <w:r>
        <w:rPr>
          <w:rFonts w:ascii="Times New Roman;Times;Serif" w:hAnsi="Times New Roman;Times;Serif"/>
          <w:b w:val="false"/>
          <w:i w:val="false"/>
          <w:caps w:val="false"/>
          <w:smallCaps w:val="false"/>
          <w:sz w:val="20"/>
        </w:rPr>
        <w:t>” means, collectively, Company Options, Company RSAs, Company Performance-Based RSAs and Company Performance-Based Cash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means the Fourth Amended and Restated By-Laws of the Company,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means the Amended and Restated Certificate of Incorporation of the Company, filed on November 24, 1993, as amended by the Certificate of Amendment, filed on December 2, 1993, as further amended by the Certificate of Designation, filed on August 2, 1995, as further amended by the Certificate of Designation, filed on June 21, 1996, as further amended by the Certificate of Change of Registered Agent, filed on May 31, 2002, as further amended by the Certificate of Amendment, filed on February 17, 2005, as further amended by the Certificate of Amendment, filed on April 13, 2010, as further amended by the Certificate of Designation, filed on November 22, 2010, as further amended by the Certificate of Amendment, filed on February 3, 2011, as further amended by the Certificate of Amendment, filed on October 11, 2012, as further amended by the Certificate of Amendment, filed on February 4, 2013, as further amended by the Certificate of Amendment, filed on November 6, 2013, as further amended by the Certificate of Amendment, effective as of November 12, 2016, as further amended by the Certificate of Amendment, filed on November 8, 2019, as further amended by the Certificate of Amendment, filed on November 9, 2022, and as further amended by the Certificate of Amendment, filed on February 5, 2026, as further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Facility</w:t>
      </w:r>
      <w:r>
        <w:rPr>
          <w:rFonts w:ascii="Times New Roman;Times;Serif" w:hAnsi="Times New Roman;Times;Serif"/>
          <w:b w:val="false"/>
          <w:i w:val="false"/>
          <w:caps w:val="false"/>
          <w:smallCaps w:val="false"/>
          <w:sz w:val="20"/>
        </w:rPr>
        <w:t>” means that certain unsecured Credit Agreement, dated as of October 13, 2022, by and among the Company, the lenders and issuing lenders party thereto from time to time and J.P. Morgan Chase Bank, N.A., as administrative agent,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that certain L/C Commitment Increase Notice, dated as of August 18, 2025, that certain Second Amendment, dated as of January 13, 2026, and that certain Third Amendment, dated as of March 13, 2026, and as further amended, restated, amended and restated, supplemented, waived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w:t>
      </w:r>
      <w:r>
        <w:rPr>
          <w:rFonts w:ascii="Times New Roman;Times;Serif" w:hAnsi="Times New Roman;Times;Serif"/>
          <w:b w:val="false"/>
          <w:i w:val="false"/>
          <w:caps w:val="false"/>
          <w:smallCaps w:val="false"/>
          <w:sz w:val="20"/>
        </w:rPr>
        <w:t>” means the Amended and Restated 2014 Long-Term Incentive Plan of the Company, as amended and restated from time to time and the Company’s Employee Stock Option Grant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Fundamental Representations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(excluding the first two sentences of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following shall be deemed, either alone or in combination, to constitute, and none of the following shall be taken into account in determining whether there has been or would reasonably be expected to be,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negotiation, execution and delivery of this Agreement or the announcement or pendency of the Transactions, including any impact thereof on relationships, contractual or otherwise, with customers, suppliers, vendors, partners, financing sources, contractors or employees of the Company and its Subsidiaries, or the performance of this Agreement and the Transactions, including compliance with the covenants set forth herein (provided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apply to the representations and warranties contained in </w:t>
      </w:r>
      <w:r>
        <w:rPr>
          <w:rFonts w:ascii="Times New Roman;Times;Serif" w:hAnsi="Times New Roman;Times;Serif"/>
          <w:b w:val="false"/>
          <w:i w:val="false"/>
          <w:caps w:val="false"/>
          <w:smallCaps w:val="false"/>
          <w:sz w:val="20"/>
          <w:u w:val="single"/>
        </w:rPr>
        <w:t>Sections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3.9</w:t>
      </w:r>
      <w:r>
        <w:rPr>
          <w:rFonts w:ascii="Times New Roman;Times;Serif" w:hAnsi="Times New Roman;Times;Serif"/>
          <w:b w:val="false"/>
          <w:i w:val="false"/>
          <w:caps w:val="false"/>
          <w:smallCaps w:val="false"/>
          <w:sz w:val="20"/>
        </w:rPr>
        <w:t xml:space="preserve"> to the extent the purpose of such representation or warranty is to address the consequences resulting from the negotiation, execution and delivery of this Agreement or the announcement or pendency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changes in conditions generally affecting the industries in which the Company and its Subsidiaries participate or the markets in which the Company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after the date of this Agreement in applicable Laws or interpretation or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change after the date of this Agreement in GAAP or principles or interpretation or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commencement, continuation or escalation of a war or other material international or national calamity or act of terrorism;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failure by the Company to meet any internal or public projections, forecasts, guidance, estimates, milestones, budgets or internal or published financial or operating predictions of revenue, earnings, cash flow or cash position (it being understood that the exception in this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shall not prevent or otherwise affect a determination that the underlying cause of any such failure is, may be, contributed to or may contribute to, a Company Material Adverse Effect (so long as such underlying cause is not otherwise excluded by any 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changes in the market price or trading volume of the Shares or any other securities of the Company (it being understood that the exception in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shall not prevent or otherwise affect a determination that the underlying cause of any such change is, may be, contributed to or may contribute to, a Company Material Adverse Effect (so long as such underlying cause is not otherwise excluded by any 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action taken or omitted at the written request of or with the written consent of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changes in trade regulations, such as the imposition of new or increased trade restrictions, tariffs, trade policies or disputes, or changes in, or any consequences resulting from, any “trade war” or similar actions in the United States or any other country or region in the world;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Stockholder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change, effect, event, development, state of facts, circumstance, condition or occurrence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may be taken into account in determining whether there has been, or would reasonably be expected to be, a Company Material Adverse Effect to the extent such change, effect, event, development, state of facts, circumstance, condition or occurrence has a disproportionately adverse effect on the Company and its Subsidiaries, taken as a whole, as compared to other participants in the industry or jurisdiction in which the Company and its Subsidiaries operate (in which case, solely the incremental disproportionate adverse impact or impacts may be taken into account in determining whether there has been or would reasonably be expected to be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Notes</w:t>
      </w:r>
      <w:r>
        <w:rPr>
          <w:rFonts w:ascii="Times New Roman;Times;Serif" w:hAnsi="Times New Roman;Times;Serif"/>
          <w:b w:val="false"/>
          <w:i w:val="false"/>
          <w:caps w:val="false"/>
          <w:smallCaps w:val="false"/>
          <w:sz w:val="20"/>
        </w:rPr>
        <w:t>” means, collectively, $350,000,000 aggregate principal amount of 7.250% Senior Notes due 2029, $250,000,000 aggregate principal amount of 7.500% Senior Notes due 2031, $400,000,000 aggregate principal amount of 8.000% Senior Notes due 2032, $25,800,000 aggregate principal amount of Junior Subordinated Notes due 2036, and $75,000,000 aggregate principal amount of Junior Subordinated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each outstanding option to purchase Shares issued pursuant to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Performance-Based Cash Award</w:t>
      </w:r>
      <w:r>
        <w:rPr>
          <w:rFonts w:ascii="Times New Roman;Times;Serif" w:hAnsi="Times New Roman;Times;Serif"/>
          <w:b w:val="false"/>
          <w:i w:val="false"/>
          <w:caps w:val="false"/>
          <w:smallCaps w:val="false"/>
          <w:sz w:val="20"/>
        </w:rPr>
        <w:t>” means each outstanding award of cash issued pursuant to the Company Equity Plan that is subject to specified performance-based vesting criteria. For clarity, Company Performance-Based Cash Awards shall not include any cash base bonuses paid with respect to an annual (or other shorter period, such as quarterly)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Performance-Based RSA</w:t>
      </w:r>
      <w:r>
        <w:rPr>
          <w:rFonts w:ascii="Times New Roman;Times;Serif" w:hAnsi="Times New Roman;Times;Serif"/>
          <w:b w:val="false"/>
          <w:i w:val="false"/>
          <w:caps w:val="false"/>
          <w:smallCaps w:val="false"/>
          <w:sz w:val="20"/>
        </w:rPr>
        <w:t>” means each outstanding award of restricted Shares issued pursuant to the Company Equity Plan that is subject to forfeiture or repurchase based on specified performance-based vesting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RSA</w:t>
      </w:r>
      <w:r>
        <w:rPr>
          <w:rFonts w:ascii="Times New Roman;Times;Serif" w:hAnsi="Times New Roman;Times;Serif"/>
          <w:b w:val="false"/>
          <w:i w:val="false"/>
          <w:caps w:val="false"/>
          <w:smallCaps w:val="false"/>
          <w:sz w:val="20"/>
        </w:rPr>
        <w:t>” means each outstanding award of restricted Shares issued pursuant to the Company Equity Plan that is subject to forfeiture or repurchase based on specified service-based vesting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means an amount equal to $31,300,000.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license, indenture, note, bond, agreement, concession, franchise or other binding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Development Parcel</w:t>
      </w:r>
      <w:r>
        <w:rPr>
          <w:rFonts w:ascii="Times New Roman;Times;Serif" w:hAnsi="Times New Roman;Times;Serif"/>
          <w:b w:val="false"/>
          <w:i w:val="false"/>
          <w:caps w:val="false"/>
          <w:smallCaps w:val="false"/>
          <w:sz w:val="20"/>
        </w:rPr>
        <w:t>” means any Real Property that the Company or any of its Subsidiaries is under Contract to purchase pursuant to a Development Parcel Contract for the development of Residential Lots in a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Property</w:t>
      </w:r>
      <w:r>
        <w:rPr>
          <w:rFonts w:ascii="Times New Roman;Times;Serif" w:hAnsi="Times New Roman;Times;Serif"/>
          <w:b w:val="false"/>
          <w:i w:val="false"/>
          <w:caps w:val="false"/>
          <w:smallCaps w:val="false"/>
          <w:sz w:val="20"/>
        </w:rPr>
        <w:t>” means any Contract Residential Lot, Contract Development Parcel or property under a Land Bank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Residential Lot</w:t>
      </w:r>
      <w:r>
        <w:rPr>
          <w:rFonts w:ascii="Times New Roman;Times;Serif" w:hAnsi="Times New Roman;Times;Serif"/>
          <w:b w:val="false"/>
          <w:i w:val="false"/>
          <w:caps w:val="false"/>
          <w:smallCaps w:val="false"/>
          <w:sz w:val="20"/>
        </w:rPr>
        <w:t>” means any Residential Lot that the Company or any of its Subsidiaries has the contractual right to acquire pursuant to a Lot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Parcel Contract</w:t>
      </w:r>
      <w:r>
        <w:rPr>
          <w:rFonts w:ascii="Times New Roman;Times;Serif" w:hAnsi="Times New Roman;Times;Serif"/>
          <w:b w:val="false"/>
          <w:i w:val="false"/>
          <w:caps w:val="false"/>
          <w:smallCaps w:val="false"/>
          <w:sz w:val="20"/>
        </w:rPr>
        <w:t>” means any Contract, including Land Bank Contracts, for the acquisition, directly or indirectly, by the Company or any of its Subsidiaries, alone or together with other investors, of a parcel or a group of parcels (whether or not described on a preliminary or final plat map) other than Residential Lots that are Finished 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Agent</w:t>
      </w:r>
      <w:r>
        <w:rPr>
          <w:rFonts w:ascii="Times New Roman;Times;Serif" w:hAnsi="Times New Roman;Times;Serif"/>
          <w:b w:val="false"/>
          <w:i w:val="false"/>
          <w:caps w:val="false"/>
          <w:smallCaps w:val="false"/>
          <w:sz w:val="20"/>
        </w:rPr>
        <w:t>” means each employee of the Sub-Agent acting as an Insurance Producer on behalf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w:t>
      </w:r>
      <w:r>
        <w:rPr>
          <w:rFonts w:ascii="Times New Roman;Times;Serif" w:hAnsi="Times New Roman;Times;Serif"/>
          <w:b w:val="false"/>
          <w:i w:val="false"/>
          <w:caps w:val="false"/>
          <w:smallCaps w:val="false"/>
          <w:sz w:val="20"/>
        </w:rPr>
        <w:t>” means any Proceeding by any Person alleging liability or potential liability arising out of, relating to, based on or resulting from the Release of any Hazardous Substances or any alleged violations of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xml:space="preserve">” means all Laws related to the protection of the environment or natural resources, human health or safety (as relating to exposure to or management of Hazardous Substances), or the production, distribution, use, storage, treatment, transportation, recycling, Release or other handling of, or exposure to, Hazardous Substances, including, without limitation, the Clean Water Act, 33 U.S.C. §1151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Resource Conservation and Recovery Act, 42 U.S.C.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Comprehensive Environmental Response and Compensation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Toxic Substances Control Act, 15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Occupational Safety and Health Act of 1970, 29 U.S.C. § 651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it relates to exposure to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Information</w:t>
      </w:r>
      <w:r>
        <w:rPr>
          <w:rFonts w:ascii="Times New Roman;Times;Serif" w:hAnsi="Times New Roman;Times;Serif"/>
          <w:b w:val="false"/>
          <w:i w:val="false"/>
          <w:caps w:val="false"/>
          <w:smallCaps w:val="false"/>
          <w:sz w:val="20"/>
        </w:rPr>
        <w:t>” means any (A) pro forma financial information or pro forma financial statements, including post-Closing or pro forma cost savings, synergies, capitalization, ownership or other pro forma adjustments, reflecting or giving effect to the Merger and the other Transactions; (B) description of post-Closing capital structure, including descriptions of indebtedness or equity or ownership of Parent or any of its affiliates (including the Company and its Subsidiaries on or after the Closing Date); (C) description of all or any portion of the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(D) risk factors relating to all or any component of the Financing; (E) (1) historical financial statements or other information required by Rule 3-09, Rule 3-10, Rule 3-16, Rule 13-01 or Rule 13-02 of Regulation S-X under the Securities 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(F) projections, budgets, estimates, forecasts and other forward-looking information; (G) information regarding any post-Closing or pro-forma cost savings, synergies, capitalization or ownership desired to be incorporated into any information used in connection with the Financing; (H) information not reasonably available to the Company or its affiliates under their respective current reporting systems; and (I) other information customarily excluded from a customary information memorandum or offering memorandum for a secured bank financing or senior debt securities issued pursuant to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Entities</w:t>
      </w:r>
      <w:r>
        <w:rPr>
          <w:rFonts w:ascii="Times New Roman;Times;Serif" w:hAnsi="Times New Roman;Times;Serif"/>
          <w:b w:val="false"/>
          <w:i w:val="false"/>
          <w:caps w:val="false"/>
          <w:smallCaps w:val="false"/>
          <w:sz w:val="20"/>
        </w:rPr>
        <w:t>” means the entities that have committed to provide or otherwise entered into agreements in connection with the Financing, or to purchase securities from or place securities or arrange or provide loans for Parent in lieu of the Financing under the Commitment Letters, in connection with the Merger, including any such parties to the Commitment Letters and any joinder agreements, indentures or credit agreements (including any definitive agreements) relating thereto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Parties</w:t>
      </w:r>
      <w:r>
        <w:rPr>
          <w:rFonts w:ascii="Times New Roman;Times;Serif" w:hAnsi="Times New Roman;Times;Serif"/>
          <w:b w:val="false"/>
          <w:i w:val="false"/>
          <w:caps w:val="false"/>
          <w:smallCaps w:val="false"/>
          <w:sz w:val="20"/>
        </w:rPr>
        <w:t>” means the Financing Entities and their respective affiliates and their and their respective affiliates’ former, current or future officers, directors, employees, agents, attorneys, advisors, general or limited partners, shareholders and Representatives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Finished Lot</w:t>
      </w:r>
      <w:r>
        <w:rPr>
          <w:rFonts w:ascii="Times New Roman;Times;Serif" w:hAnsi="Times New Roman;Times;Serif"/>
          <w:b w:val="false"/>
          <w:i w:val="false"/>
          <w:caps w:val="false"/>
          <w:smallCaps w:val="false"/>
          <w:sz w:val="20"/>
        </w:rPr>
        <w:t>” means, as to each Residential Lot, that all civil and geotechnical engineering work has been performed and paid for, all improvements have been constructed and work performed, and all other conditions satisfied and obligations fulfilled, whether on or outside the boundaries of the applicable Residential Lot, as required to obtain a building permit for construction of a single family residence on the applicable Residential Lot upon only the payment of building permit fees. For the avoidance of doubt, any reference herein to a “Finished Lot” shall refer to a Residential Lot that complies with the requirements for substantial completion of a finished lot set forth in the applicable Lot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applied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agency, bureau, board, commission, court, department, official, political subdivision, judicial body or tribunal, committee or other instrumentality or system of any government, whether domestic or foreign, federal, state, provincial or local, any self-regulatory organization (including any securities exchange), or any arbitrational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xml:space="preserve">” means a “hazardous waste” defined under the Resource Conservation and Recovery Act, 42 U.S.C.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“hazardous substances” defined under the Comprehensive Environmental Response and Compensation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“toxic substance” defined under the Toxic Substances Control Act, 15, U.S.C. §2601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or as “hazardous waste,” “hazardous substances” or “toxic substances” are defined under state and local laws and regulations, and means petroleum hydrocarbons, asbestos, asbestos-containing materials, lead-based paint, mold, pesticides, herbicides, PCBs, PFAS substances, PFOS, PFOA, sewage, or similar hazardous substances, mixtures, or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Home Sale Contract</w:t>
      </w:r>
      <w:r>
        <w:rPr>
          <w:rFonts w:ascii="Times New Roman;Times;Serif" w:hAnsi="Times New Roman;Times;Serif"/>
          <w:b w:val="false"/>
          <w:i w:val="false"/>
          <w:caps w:val="false"/>
          <w:smallCaps w:val="false"/>
          <w:sz w:val="20"/>
        </w:rPr>
        <w:t>” means, as of any date of determination, any Contract (i) for the sale of a Residential Unit to a retail home purchaser by the Company or any of its Subsidiaries and (ii) under which the sale of the applicable Residential Unit to a retail buyer has not been consummated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means, collectively, the (i) Indenture, dated as of September 24, 2019, among the Company, the subsidiary guarantors party thereto and U.S. Bank National Association, as trustee, related to the 7.250% Senior Notes due 2029, (ii) Indenture, dated as of March 15, 2024, among the Company, the subsidiary guarantors party thereto and Regions Bank, as trustee, related to the 7.500% Senior Notes due 2031, (iii) Indenture, dated as of June 23, 2026, among the Company, the subsidiary guarantors party thereto and Regions Bank, as trustee, related to the 8.000% Senior Notes due 2032, (iv) Indenture, dated as of June 15, 2006, by and among the Company and JPMorgan Chase Bank, National Association, as trustee, related to the Junior Subordinated Notes due 2036, and (v) Indenture, dated as of January 15, 2010, by and among the Company and Wilmington Trust Company, as trustee, related to the Junior Subordinated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Inquiry</w:t>
      </w:r>
      <w:r>
        <w:rPr>
          <w:rFonts w:ascii="Times New Roman;Times;Serif" w:hAnsi="Times New Roman;Times;Serif"/>
          <w:b w:val="false"/>
          <w:i w:val="false"/>
          <w:caps w:val="false"/>
          <w:smallCaps w:val="false"/>
          <w:sz w:val="20"/>
        </w:rPr>
        <w:t>” means any inquiry, proposal or offer that constitutes, or that would reasonably be expected to result in,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Carrier Client</w:t>
      </w:r>
      <w:r>
        <w:rPr>
          <w:rFonts w:ascii="Times New Roman;Times;Serif" w:hAnsi="Times New Roman;Times;Serif"/>
          <w:b w:val="false"/>
          <w:i w:val="false"/>
          <w:caps w:val="false"/>
          <w:smallCaps w:val="false"/>
          <w:sz w:val="20"/>
        </w:rPr>
        <w:t>” means any insurance company or other Person whose insurance products the Sub-Agent has 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Law</w:t>
      </w:r>
      <w:r>
        <w:rPr>
          <w:rFonts w:ascii="Times New Roman;Times;Serif" w:hAnsi="Times New Roman;Times;Serif"/>
          <w:b w:val="false"/>
          <w:i w:val="false"/>
          <w:caps w:val="false"/>
          <w:smallCaps w:val="false"/>
          <w:sz w:val="20"/>
        </w:rPr>
        <w:t>” means all Laws applicable to the regulation of the business of insurance or reinsurance or the conduct of such business by any Person, including without limitation insurance producers, risk retention groups and captive insurers, whether federal, national, provincial, state, local, foreign or multinational, and all applicable orders, directives of, and market conduct or financial recommendations resulting from market conduct or financial examinations of, Insurance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means all insurance policies (including historic, occurrence based policies) and arrangements held by or for the benefit of the Company, any of its Subsidiaries, or the business, assets or properties owned, leased or operated by the Company or any of its Subsidiaries, as the case may be prior to the date of this Agreement other than a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Producer</w:t>
      </w:r>
      <w:r>
        <w:rPr>
          <w:rFonts w:ascii="Times New Roman;Times;Serif" w:hAnsi="Times New Roman;Times;Serif"/>
          <w:b w:val="false"/>
          <w:i w:val="false"/>
          <w:caps w:val="false"/>
          <w:smallCaps w:val="false"/>
          <w:sz w:val="20"/>
        </w:rPr>
        <w:t>” means any licensed insurance broker or brokerage, licensed insurance agent or agency, or licensed insurance producer or sub-producer, or any one else selling, soliciting or negotiating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Regulators</w:t>
      </w:r>
      <w:r>
        <w:rPr>
          <w:rFonts w:ascii="Times New Roman;Times;Serif" w:hAnsi="Times New Roman;Times;Serif"/>
          <w:b w:val="false"/>
          <w:i w:val="false"/>
          <w:caps w:val="false"/>
          <w:smallCaps w:val="false"/>
          <w:sz w:val="20"/>
        </w:rPr>
        <w:t>” means all Governmental Entities regulating the business of insurance or reinsurance, or regulating the conduct of such business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 technology, formulae, algorithms, procedures, processes, methods, subroutines, systems, techniques, ideas, concepts, creations, inventions, discoveries, and improvements (whether patentable or unpatentable and whether or not reduced to practice); (b) Proprietary Information; (c) specifications, designs, industrial designs, architectural designs, models, diagrams, blueprints, devices, prototypes, schematics and development tools; (d) Software, websites, content, images, logos, graphics, text, photographs, artwork, audiovisual works, sound recordings, graphs, drawings, reports, analyses, writings, and other works of authorship and copyrightable subject matter; (e) databases and other compilations and collections of data or information (“</w:t>
      </w:r>
      <w:r>
        <w:rPr>
          <w:rFonts w:ascii="Times New Roman;Times;Serif" w:hAnsi="Times New Roman;Times;Serif"/>
          <w:b w:val="false"/>
          <w:i w:val="false"/>
          <w:caps w:val="false"/>
          <w:smallCaps w:val="false"/>
          <w:sz w:val="20"/>
          <w:u w:val="single"/>
        </w:rPr>
        <w:t>Databases</w:t>
      </w:r>
      <w:r>
        <w:rPr>
          <w:rFonts w:ascii="Times New Roman;Times;Serif" w:hAnsi="Times New Roman;Times;Serif"/>
          <w:b w:val="false"/>
          <w:i w:val="false"/>
          <w:caps w:val="false"/>
          <w:smallCaps w:val="false"/>
          <w:sz w:val="20"/>
        </w:rPr>
        <w:t>”); (f) Marks; (g) domain names, uniform resource locators and other names and locators associated with the Internet (“</w:t>
      </w:r>
      <w:r>
        <w:rPr>
          <w:rFonts w:ascii="Times New Roman;Times;Serif" w:hAnsi="Times New Roman;Times;Serif"/>
          <w:b w:val="false"/>
          <w:i w:val="false"/>
          <w:caps w:val="false"/>
          <w:smallCaps w:val="false"/>
          <w:sz w:val="20"/>
          <w:u w:val="single"/>
        </w:rPr>
        <w:t>Domain Names</w:t>
      </w:r>
      <w:r>
        <w:rPr>
          <w:rFonts w:ascii="Times New Roman;Times;Serif" w:hAnsi="Times New Roman;Times;Serif"/>
          <w:b w:val="false"/>
          <w:i w:val="false"/>
          <w:caps w:val="false"/>
          <w:smallCaps w:val="false"/>
          <w:sz w:val="20"/>
        </w:rPr>
        <w:t>”); and (h) tangible embodiments of any of the foregoing, in any form or media whether or not specifically listed in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License</w:t>
      </w:r>
      <w:r>
        <w:rPr>
          <w:rFonts w:ascii="Times New Roman;Times;Serif" w:hAnsi="Times New Roman;Times;Serif"/>
          <w:b w:val="false"/>
          <w:i w:val="false"/>
          <w:caps w:val="false"/>
          <w:smallCaps w:val="false"/>
          <w:sz w:val="20"/>
        </w:rPr>
        <w:t>” means any license, sublicense, right, covenant, right or obligation of non-assertion, concurrent use agreement, settlement agreement, co-existence agreement, agreement not to enforce or prosecute, permission, immunity, consent, release or waiver under or with respect to any Intellectual Property or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any rights in Intellectual Property (anywhere in the world, whether statutory, common Law or otherwise) including (a) Patents; (b) copyrights, applications for registration of copyright, including such rights in works of authorship, literary works, databases, Software, pictorial and graphic works, mask work rights, reversions and moral rights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(c) other rights with respect to Software, including registrations of these rights and applications to register these rights; (d) industrial design rights and registrations of these rights and applications to register the rights; (e) rights with respect to Marks, and all registrations for Marks and applications to register Marks; (f) rights with respect to Domain Names, including registrations for Domain Names; (g) rights with respect to Trade Secrets and rights with respect to Proprietary Information, including rights to limit the use or disclosure of Proprietary Information by any Person; (h) rights with respect to Databases, including registrations of these rights and applications to register these rights; (i) rights of publicity and personality, including all rights with respect to use of a Person’s name, signature, likeness, image, photograph, voice, identity, personality, and biographical and personal information and materials; (j) rights in or relating to applications, registrations, combinations, revisions, divisions, continuations, continuations-in- part, renewals, reissues, reversions, reexaminations, or extensions of any of the foregoing; (k) all causes of action and rights to sue or seek other remedies arising from or relating to the foregoing, including for any past or ongoing infringement, misuse or misappropriation; and (l) any rights equivalent or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xml:space="preserve">” means any change, effect, event, development, state of facts, circumstance, condition or occurrence with respect to the Company and its Subsidiaries that was not known by or reasonably foreseeable by the Company Board as of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all computer, information technology and data processing systems, facilities, firmware, middleware, routers, hubs, switches, and services, including all Software, hardware, networks, communications facilities, platforms and related systems and services owned, leased or licensed by the Company or any of its Subsidiaries and otherwise used or held for use in the operation of the business of the Company or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the Persons listed in Section 8.1(a)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(a) when used with respect to the Company, the knowledge of the individuals listed in Section 8.1(b) of the Company Disclosure Schedule; and (b) when used with respect to Parent or Merger Sub, the knowledge of the individuals listed in Section 8.1 (c) of the Parent Disclosure Schedule,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 Bank Contract</w:t>
      </w:r>
      <w:r>
        <w:rPr>
          <w:rFonts w:ascii="Times New Roman;Times;Serif" w:hAnsi="Times New Roman;Times;Serif"/>
          <w:b w:val="false"/>
          <w:i w:val="false"/>
          <w:caps w:val="false"/>
          <w:smallCaps w:val="false"/>
          <w:sz w:val="20"/>
        </w:rPr>
        <w:t>” means any option agreement (or similar type contract) pursuant to which the Company or any of its Subsidiaries have the option to purchase Finished Lots together with any construction agreement executed in connection with said option agreement and all ancillary documents executed in connection with said option agreement and/or related construction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law, statute, constitution, ordinance, rule, regulation, stock exchange listing requirement, treaty, regulation, decree, or other Order issued, enacted, adopted, promulgated, implemented or otherwise put into effect by or under the authority of any Governmental Entity, including common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IP</w:t>
      </w:r>
      <w:r>
        <w:rPr>
          <w:rFonts w:ascii="Times New Roman;Times;Serif" w:hAnsi="Times New Roman;Times;Serif"/>
          <w:b w:val="false"/>
          <w:i w:val="false"/>
          <w:caps w:val="false"/>
          <w:smallCaps w:val="false"/>
          <w:sz w:val="20"/>
        </w:rPr>
        <w:t>” means all Intellectual Property or Intellectual Property Rights owned by a third Person which is used or held for use by the Company or a Subsidiary of the Company in connection with the Company’s or its Subsidiary’s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liens, encumbrances, defects and imperfections of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Lot Purchase Agreement</w:t>
      </w:r>
      <w:r>
        <w:rPr>
          <w:rFonts w:ascii="Times New Roman;Times;Serif" w:hAnsi="Times New Roman;Times;Serif"/>
          <w:b w:val="false"/>
          <w:i w:val="false"/>
          <w:caps w:val="false"/>
          <w:smallCaps w:val="false"/>
          <w:sz w:val="20"/>
        </w:rPr>
        <w:t>” means any Contract for the acquisition, directly or indirectly, by the Company or any of its Subsidiaries, alone or together with other investors, of Residential Lots, including, without limitation, option agreements relating to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Malicious Code</w:t>
      </w:r>
      <w:r>
        <w:rPr>
          <w:rFonts w:ascii="Times New Roman;Times;Serif" w:hAnsi="Times New Roman;Times;Serif"/>
          <w:b w:val="false"/>
          <w:i w:val="false"/>
          <w:caps w:val="false"/>
          <w:smallCaps w:val="false"/>
          <w:sz w:val="20"/>
        </w:rPr>
        <w:t>” means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(ii) compromising the privacy or data security of a user; or (iii) damaging or destroying any data or file without a user’s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means trademarks, service marks, logos and design marks, trade dress, trade names, fictitious and other business names, and brand names, together with all goodwill associated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means the Nondisclosure Agreement, dated as of July 15, 2026, by and between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means prospectuses, private placement memoranda, offering memoranda, information memoranda and lender and investor presentations, in each case, to the extent the same are customary and required under the terms of the applicable Commitment Letter, in connection with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ruling, order, decision, writ, injunction, determination, ruling or decree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Company IP</w:t>
      </w:r>
      <w:r>
        <w:rPr>
          <w:rFonts w:ascii="Times New Roman;Times;Serif" w:hAnsi="Times New Roman;Times;Serif"/>
          <w:b w:val="false"/>
          <w:i w:val="false"/>
          <w:caps w:val="false"/>
          <w:smallCaps w:val="false"/>
          <w:sz w:val="20"/>
        </w:rPr>
        <w:t>” means all Intellectual Property and Intellectual Property Rights owned or purported to be owned by the Company or any of its Subsidiaries, including all Registered Company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change, effect, event, development, state of facts, circumstance, condition or occurrence that, individually or in the aggregate, has or would reasonably be expected to have a material adverse effect on Parent’s or Merger Sub’s ability to timely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patents and patent applications, utility models and applications for utility models, inventor’s certificates and applications for inventor’s certificates, and invention disclosure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any license, permit, consent, qualification, franchise, registration, certificate, rights or other similar authorization issued by, or otherwise granted by, any Governmental Entity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any Lien: (i) for Taxes or governmental assessments, charges or claims of payment not yet due and payable or that is being contested in good faith by appropriate proceedings and for which adequate reserves are maintained on the financial statements of the Company or the Subsidiary of the Company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of this Agreement;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each case,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does not adversely affect in any material respect the current or anticipated use of the applicable property owned, leased, used or held for use by the Company or any of its Subsidiaries; (ix) that has arisen in the ordinary course of business and is not material to the Company and its Subsidiaries, taken as a whole; (x) on any assets of the Company or its Subsidiaries or any pledge of securities of any Subsidiary pursuant to the terms of the Company Credit Facility or any Indenture; and (xi) any Real Estate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or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in addition to any definition provided by applicable Privacy Law for the same or any similar term (e.g., “personal data,” “personally identifiable information,” “PII” or “protected health information”), information regarding or capable of being associated with an identified or identifiable individual, household or device. Personal Information may relate to any individual, including a current, prospective or former customer, user, employee or vendor of any Person. Personal Information includes information in any form, including paper, electronic and other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w:t>
      </w:r>
      <w:r>
        <w:rPr>
          <w:rFonts w:ascii="Times New Roman;Times;Serif" w:hAnsi="Times New Roman;Times;Serif"/>
          <w:b w:val="false"/>
          <w:i w:val="false"/>
          <w:caps w:val="false"/>
          <w:smallCaps w:val="false"/>
          <w:sz w:val="20"/>
        </w:rPr>
        <w:t>” means, to the extent applicable to the Company or a Subsidiary of the Company and relating to the Processing of Personal Information or otherwise relating to privacy, data security, consumer protection or security breach notification requirements: (i) any internal and external rules, policies and procedures of the Company or its Subsidiaries, including any current or previously posted publicly-facing privacy policy or terms of use or service and any other written public statements made by or on behalf of the Company or a Subsidiary of the Company, (ii) any Law or binding guidance issued by any Governmental Entity, including any Law or binding guidance applicable to the recording, monitoring, interception or sending of communications by email, telephone, text message and fax or the use of cookies or other online tracking technologies, (iii) binding industry standards applicable to the industry in which the Company or a Subsidiary of the Company operates, including the Payment Card Industry Data Security Standard, and (iv) the relevant terms of Contracts into which the Company or a Subsidiary of the Company has entered or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all actions, suits, claims, charges, hearings, arbitrations, litigations, mediations, audits, investigations, examinations or other proceedings, in each case, by or before any Governmental Entity (in the case of investigations and examinations, to the Knowledge of the Company as used in relation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means any operation performed on Personal Information, including collection, creation, receipt, access, use, handling, compilation, analysis, monitoring, maintenance, storage, transmission, transfer (including cross-border transfer), protection, security, disclosure, sale, making available, destruction or disposal. “Processing”, “Processed” and words of similar import have the same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 means information and materials not generally known to the public, including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Permitted Lien</w:t>
      </w:r>
      <w:r>
        <w:rPr>
          <w:rFonts w:ascii="Times New Roman;Times;Serif" w:hAnsi="Times New Roman;Times;Serif"/>
          <w:b w:val="false"/>
          <w:i w:val="false"/>
          <w:caps w:val="false"/>
          <w:smallCaps w:val="false"/>
          <w:sz w:val="20"/>
        </w:rPr>
        <w:t>” means (1) any Lien (A) for Taxes or governmental assessments, charges or claims of payment not yet due, or which are being contested in good faith and for which adequate accruals or reserves have been established in accordance with GAAP, (B) which is a carriers’, warehousemen’s, mechanics’, materialmen’s, repairmen’s, or other similar lien arising in the ordinary course of business and for amounts that are either not yet delinquent or have been bonded over, (C) which is expressly disclosed on the most recent consolidated balance sheet of the Company or notes thereto included in the Company SEC Documents, or (D) which was incurred in the ordinary course of business since the date of such recent consolidated balance sheet of the Company, (2) easements, rights-of-way, licenses, restrictions, dedications and other similar encumbrances and title defects, in each case, which does not and is not reasonably expected to materially and adversely affect the current or proposed use, occupancy or value of the Real Property subject thereto or the development potential thereof, (3) any declaration of covenants, conditions and restrictions with respect to the management, maintenance and governance of property owned or to be owned by a master association or homeowners’ association that is in compliance in all material respects with the requirements of any applicable Laws and with respect to which there are no delinquent fees, charges or other payments due from the Company or any of its Subsidiaries (or otherwise with respect to any Real Property subject thereto), in each case which does not and is not reasonably expected to materially and adversely affect the current or proposed use, occupancy or value of the Real Property subject thereto or the development potential thereof and (4) with respect to Leased Real Property, any Lien which is a statutory or common law Lien to secure landlords, lessors or renters interests under Company Leases and any Lien which is imposed on the underlying fee interest in real property subject to a Company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Purchase Agreements</w:t>
      </w:r>
      <w:r>
        <w:rPr>
          <w:rFonts w:ascii="Times New Roman;Times;Serif" w:hAnsi="Times New Roman;Times;Serif"/>
          <w:b w:val="false"/>
          <w:i w:val="false"/>
          <w:caps w:val="false"/>
          <w:smallCaps w:val="false"/>
          <w:sz w:val="20"/>
        </w:rPr>
        <w:t>” means, individually or collectively as the case may be, Lot Purchase Agreements and Development Parcel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individually or collectively as the case may be, Owned Real Property and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Company Intellectual Property Rights</w:t>
      </w:r>
      <w:r>
        <w:rPr>
          <w:rFonts w:ascii="Times New Roman;Times;Serif" w:hAnsi="Times New Roman;Times;Serif"/>
          <w:b w:val="false"/>
          <w:i w:val="false"/>
          <w:caps w:val="false"/>
          <w:smallCaps w:val="false"/>
          <w:sz w:val="20"/>
        </w:rPr>
        <w:t>” means (a) all issued Patents, pending Patent applications, Mark registrations, applications for Mark registrations, Copyright registrations, applications for Copyright registrations, industrial design registrations, applications for industrial design registrations and Domain Name registrations, in each case, owned or purported to be owned, filed or applied for by, or on behalf of, the Company or any of its Subsidiaries and (b) any other applications, registrations, recordings and filings filed by or on behalf of the Company or any of its Subsidiaries (or otherwise authorized by or in the name of the Company or any of its Subsidiaries) with respect to any Owned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Agency</w:t>
      </w:r>
      <w:r>
        <w:rPr>
          <w:rFonts w:ascii="Times New Roman;Times;Serif" w:hAnsi="Times New Roman;Times;Serif"/>
          <w:b w:val="false"/>
          <w:i w:val="false"/>
          <w:caps w:val="false"/>
          <w:smallCaps w:val="false"/>
          <w:sz w:val="20"/>
        </w:rPr>
        <w:t>” means any Governmental Entity charged with the supervision or regulation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unless permitted by applicable Law, any actual or threatened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any Person, any affiliate of such Person, or any director, officer, manager, partner, employee, financial advisor, accountant, legal counsel, consultant, debt or equity financing source or other authorized agent or representative of or retained by such Person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Company Stockholder Approval</w:t>
      </w:r>
      <w:r>
        <w:rPr>
          <w:rFonts w:ascii="Times New Roman;Times;Serif" w:hAnsi="Times New Roman;Times;Serif"/>
          <w:b w:val="false"/>
          <w:i w:val="false"/>
          <w:caps w:val="false"/>
          <w:smallCaps w:val="false"/>
          <w:sz w:val="20"/>
        </w:rPr>
        <w:t>” means the adoption of this Agreement by the holders of a majority of the voting power represented by the outstanding Shares that are entitled to vote thereon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Residential Lot</w:t>
      </w:r>
      <w:r>
        <w:rPr>
          <w:rFonts w:ascii="Times New Roman;Times;Serif" w:hAnsi="Times New Roman;Times;Serif"/>
          <w:b w:val="false"/>
          <w:i w:val="false"/>
          <w:caps w:val="false"/>
          <w:smallCaps w:val="false"/>
          <w:sz w:val="20"/>
        </w:rPr>
        <w:t>” means any Real Property in a Community consisting of a residential lot upon which a single-family residence or townhome has been, is being or is anticipated to be constructed.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Residential Unit</w:t>
      </w:r>
      <w:r>
        <w:rPr>
          <w:rFonts w:ascii="Times New Roman;Times;Serif" w:hAnsi="Times New Roman;Times;Serif"/>
          <w:b w:val="false"/>
          <w:i w:val="false"/>
          <w:caps w:val="false"/>
          <w:smallCaps w:val="false"/>
          <w:sz w:val="20"/>
        </w:rPr>
        <w:t>” means a single-family residence or townhome constructed or anticipated to be constructed on a Residential Lot (whether or not the Residential Lot is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means the Rights Agreement for the Protection of NOLs and Energy-Efficiency Tax Credits, dated as of November 12, 2025, between the Company and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any officer, director, employee or individual independent contractor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(a) computer programs, including all software implementations of algorithms, code, programs, applications, APIs, models, methodologies and implementations thereof (including mobile phone applications, HTML code, firmware and other software embedded in hardware devices), whether in source code or object code or machine readable form; and (b) descriptions, flow-charts and other work product used to design, plan, organize and develop any of the foregoing, screens, user interfaces, report formats, firmware, development tools, templates, menus, buttons and icons.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(including any charitable foundation)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association or other business entity or is or controls (or is entitled to control, by virtue of such Person’s ownership of voting interests, by contract, or otherwise) the board, managing director, general partner or similar governing body of such partnership, association or other business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references in the definition thereof to 15% being deemed to be replaced with references to 50%), which the Company Board determines in good faith after consultation with the Company’s outside legal counsel and independent financial advisors (i) to be more favorable to the Company’s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this Agreement (including any proposed changes to the terms of this Agreement or the Transactions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(ii) is reasonably likely to be consummated in accordance with its terms (taking into account all legal, financial, regulatory and timing aspects of such proposal and the Person or group of Persons making such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means any “business combination,” “control share acquisition,” “fair price,” “moratorium” or other takeover or anti-takeover statute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U.S. federal, state, local and non-U.S. taxes, assessments, levies, duties, tariffs, deficiencies, imposts and other similar charges and fees in the nature of a tax imposed by any Governmental Entity, including income, franchise, windfall or other profits, gross receipts, capital gains, property, sales, use, net worth, capital stock, payroll, employment, social security, workers’ compensation, unemployment compensation, national health insurance, excise, withholding, ad valorem, stamp, transfer, value-added, surtax, occupation, environmental, disability, real property, personal property, unclaimed property, escheat, business, turnover, registration, alternative or add-on minimum, or estimated tax, including any interest, penalty, additions to tax and any additional amounts imposed, assessed or collected with respect to any of the foregoing, whether disputed or not, and including any obligation to indemnify or otherwise share, assume or succeed to the Tax liability of any other Person, including as a transferee or successor, by applicable Law,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(including information return), claim for refund, estimated filing, statement, declaration or other document, filed or required to be filed with a Governmental Entity in connection with the determination, assessment, collection or payment of any Tax, including any schedule or attachment thereto, and including any amendments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shall mean any Person other than Parent, Merger Sub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Agent</w:t>
      </w:r>
      <w:r>
        <w:rPr>
          <w:rFonts w:ascii="Times New Roman;Times;Serif" w:hAnsi="Times New Roman;Times;Serif"/>
          <w:b w:val="false"/>
          <w:i w:val="false"/>
          <w:caps w:val="false"/>
          <w:smallCaps w:val="false"/>
          <w:sz w:val="20"/>
        </w:rPr>
        <w:t>” means each Person, other than as an Employee Agent, that is acting as an Insurance Producer for or on behalf of the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w:t>
      </w:r>
      <w:r>
        <w:rPr>
          <w:rFonts w:ascii="Times New Roman;Times;Serif" w:hAnsi="Times New Roman;Times;Serif"/>
          <w:b w:val="false"/>
          <w:i w:val="false"/>
          <w:caps w:val="false"/>
          <w:smallCaps w:val="false"/>
          <w:sz w:val="20"/>
        </w:rPr>
        <w:t>” means all trade secret rights and other rights in know-how and confidential or proprietary information or in information that derives independent economic value, actual or potential, from not being known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final and temporary regulations promulgated under the Code by the U.S.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failure of a party to consummate the Merger when the relevant conditions to the Merger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conditions that are to be satisfied at or immediately prior to the Closing) have been satisfied or waived and such party is obligated to effectuate the Closing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will, in and of itself, constitute a Willful and Material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Terms Defined Elsewhere</w:t>
      </w:r>
      <w:r>
        <w:rPr>
          <w:rFonts w:ascii="Times New Roman;Times;Serif" w:hAnsi="Times New Roman;Times;Serif"/>
          <w:b w:val="false"/>
          <w:i w:val="false"/>
          <w:caps w:val="false"/>
          <w:smallCaps w:val="false"/>
          <w:sz w:val="20"/>
        </w:rPr>
        <w:t>. The following terms are defined elsewhere in this Agreement, as indicated below:</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885"/>
        <w:gridCol w:w="1415"/>
      </w:tblGrid>
      <w:tr>
        <w:trPr/>
        <w:tc>
          <w:tcPr>
            <w:tcW w:w="288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14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Annual Bonus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 Annual Bonus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401(k)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Acquiring Person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Contract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Affiliated Persons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Alternative Acquisition Agreement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5.3(c)(ii)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Short-Term Incentive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of the Bargain Damages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Shares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2.2(b)(ii)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Date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Merger</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Recommendation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5.3(c)(i)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Legal Impediment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 Letters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Schedule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Insurance Licenses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Lease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6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bl>
    <w:tbl>
      <w:tblPr>
        <w:tblW w:w="4870" w:type="dxa"/>
        <w:jc w:val="left"/>
        <w:tblInd w:w="0" w:type="dxa"/>
        <w:tblLayout w:type="fixed"/>
        <w:tblCellMar>
          <w:top w:w="0" w:type="dxa"/>
          <w:left w:w="0" w:type="dxa"/>
          <w:bottom w:w="0" w:type="dxa"/>
          <w:right w:w="0" w:type="dxa"/>
        </w:tblCellMar>
      </w:tblPr>
      <w:tblGrid>
        <w:gridCol w:w="2975"/>
        <w:gridCol w:w="1895"/>
      </w:tblGrid>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Meeting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5.4(a)(i)</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Permits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Related Parties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Documents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Financial Statements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Solicitation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5.15(e)(xiii)(2)</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Continuation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Employee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Copyrights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Insurance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Databases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 Documents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Agreements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Development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DGCL</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Domain Names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Engagement Letters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 Notice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5.3(d)(i)(1)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Amount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Indemnitee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Indemnitees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Moelis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Non-Parties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Required Filings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Date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Owned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6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bl>
    <w:tbl>
      <w:tblPr>
        <w:tblW w:w="4135" w:type="dxa"/>
        <w:jc w:val="left"/>
        <w:tblInd w:w="0" w:type="dxa"/>
        <w:tblLayout w:type="fixed"/>
        <w:tblCellMar>
          <w:top w:w="0" w:type="dxa"/>
          <w:left w:w="0" w:type="dxa"/>
          <w:bottom w:w="0" w:type="dxa"/>
          <w:right w:w="0" w:type="dxa"/>
        </w:tblCellMar>
      </w:tblPr>
      <w:tblGrid>
        <w:gridCol w:w="2240"/>
        <w:gridCol w:w="1895"/>
      </w:tblGrid>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Disclosure Schedule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Subsidiaries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Subsidiary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Payoff Letter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Prohibited Modifications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Notice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5.3(d)(ii)(2)</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5.4(a)(ii)</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Recourse Theory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5.15(e)(xiii)(3)</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Remedy Action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5.5(e)</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Financing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5.15(b)</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Sarbanes-Oxley Act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Sub-Agent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otherwise expressly provided herein, (a) the Company shall pay or cause to be paid all of its and its Subsidiaries’ fees, costs and expenses (including fees, costs and expenses of legal counsel, investment bankers, brokers and other representatives and consultants), and (b) Parent and Merger Sub shall each pay or cause to be paid all of its fees, costs and expenses (including fees, costs and expenses of legal counsel, investment bankers, brokers and other representatives and consultants), in each case, incurred in connection with the negotiation of this Agreement, the performance of its obligations hereunder, and the consummation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filing fees incurred in connection with any filings under the HSR Act required for the Transactions and any Other Required Filings shall be borne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and other communications to be given or delivered under or by reason of the provisions of this Agreement shall be in writing and shall be deemed to have been given (a) when personally delivered, (b) when transmitted via electronic mail to the applicable e-mail address set out below, if transmitted before 5:00 p.m., Eastern time, on a Business Day (so long as no notice of failure of delivery is received by the sender) and if not so transmitted by 5:00 p.m., Eastern time, on a Business Day, 9:00 a.m., Eastern time, on the Business Day after such transmission, (c) the next Business Day following the day on which the same has been delivered prepaid to a reputable national overnight air courier service, or (d) the third (3rd)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by the applicable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Parent or 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14701 Phillips Highway, Suite 300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32256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Riva, Vice President and General Counsel</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copies (which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 Tampa Street, Suite 2700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 33602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W. Vazquez</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 Plichta</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Garrett F. Bishop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svazquez@foley.com</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mplichta@foley.com</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gbishop@foley.com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USA,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 Summit Blvd NE, 15th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30319</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A. Dunn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(which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 &amp; Spalding LLP</w:t>
        <w:br/>
        <w:t>1180 Peachtree Street NE</w:t>
        <w:br/>
        <w:t>Atlanta, Georgia 30309</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C. Smith III</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Belenky</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Leclerc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calsmith@kslaw.com</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ebelenky@kslaw.com</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rleclerc@kslaw.com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or any of its Subsidiaries desires to take any action prohibited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 representative of the Company may request consent to take such action by sending an email to the representatives of Parent set forth in Section 9.2 of the Parent Disclosure Schedule, and approval by any such representative of Parent via email will be deemed Parent’s “consent in advance in writing” for purposes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Parent or Merger Sub, without the prior written consent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Parent or Merger Sub may, without the consent of the Company, assign in whole or in part its rights, interests and obligations pursuant to this Agreement to (i) another wholly owned direct or indirect Subsidiary of Parent or (ii) any Financing Entity pursuant to the terms of the Financing solely for purposes of creating a security interest herein or otherwise assigning as collateral in respect of the Financing;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assignment contemplated by the immediately preceding clause shall not relieve Parent or Merger Sub of any of their obligations hereunder, or (b) the Company, without the prior written consent of Parent, and in each case any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Capitalized terms used herein shall have the respective meanings assigned thereto herein (such definitions to be equally applicable to both the singular and plural forms and to the masculine as well as to the feminine and neuter genders of the terms defined). A term defined as one part of speech (such as a noun) shall have a corresponding meaning when used as another part of speech (such as a verb). All terms defined in this Agreement shall have the defined meanings when used in any certificate or other document made or delivered pursuant hereto unless otherwise defined therein. The table of contents and the section and other headings and subheadings contained in this Agreement and the exhibits hereto (including in headings in any parentheticals following section references) are solely for the purpose of reference, are not part of the agreement of the parties, and shall not in any way affect the meaning or interpretation of this Agreement or any exhibit hereto. As used in this Agreement, references to a “party” or the “parties” are intended to refer to a party to this Agreement or the parties to this Agreement. All references to days or months shall be deemed references to calendar days or months (unless Business Days are specified). In the computation of periods of time from a specified date to a later specified date, the word “from” means “from and including”; the words “to” and “until” each mean “to but excluding”; and the word “through” means “to and including.” All references to “$” shall be deemed references to United States dollars. Unless the context otherwise requires, any reference to a “Article”, “Section,” or “Exhibit,” shall be deemed to refer to an article of this Agreement, a section of this Agreement or exhibit to this Agreement, as applicable. The words “hereof,” “herein” and “hereunder” and words of similar import referring to this Agreement refer to this Agreement as a whole and not to any particular provision of this Agreement. English shall be the governing language of this Agreement. The word “including” shall mean “including, without limitation”. The word “extent” in the phrase “to the extent” shall mean the degree to which a subject or other thing extends, and such phrase shall not mean simply “if.” The phrases “in the ordinary course” or “in the ordinary course of business” shall be deemed to be followed by the phrase “consistent with past practice” whether or not so specified. “Shall” and “will” mean “must,” and shall and will have equal force and effect and express an obligation. “Writing,” “written” and comparable terms refer to printing, typing, and other means of reproducing in a visible form. The word “or” is not exclusive, and shall be interpreted as “and/or”. The words “made available to Parent” and words of similar import refer to documents (i) posted to the data room maintained by the Company or its Representatives in connection with the Transactions, (ii) delivered in person or electronically to Parent, Merger Sub or any of their respective Representatives or (iii) that are publicly available in the Electronic Data Gathering, Analysis and Retrieval (EDGAR) database of the SEC, in each case, at or prior to 11:59 p.m., Eastern time, one day prior to the date of this Agreement. References herein to “this Agreement” mean this Agreement as from time to time amended, modified or supplemented, including by waiver or consent. Any reference to any particular Code section or any other Law will be interpreted to include any revision of or successor to that section regardless of how it is numbered or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specification of any dollar amount or the inclusion of any item in the representations and warranties contained in this Agreement or the Disclosure Schedules or Exhibits attached 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The information contained in this Agreement and in the Disclosure Schedules and Exhibits hereto is disclosed solely for purposes of this Agreement, and no information contained herein or therein shall be deemed to be an admission by any party hereto to any Third Party of any matter whatsoever (including any violation of Law 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xml:space="preserve">. This Agreement may be amended, and any provision of this Agreement may be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after receipt of the Requisite Company Stockholder Approval, no amendment may be made which, by Law or in accordance with the rules of any relevant stock exchange, requires further approval by the Company’s stockholders without such approval;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any such amendment or waiver shall be binding upon the Company only if such amendment or waiver is set forth in a writing executed by the Company, and any such amendment or waiver shall be binding upon Parent or Merger Sub only if such amendment or waiver is set forth in a writing executed by Parent or Merger Sub, as applicable. No waiver of any provision hereunder or any breach or default thereof shall extend to or affect in any way any other provision or prior or subsequent breach 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Complete Agreement</w:t>
      </w:r>
      <w:r>
        <w:rPr>
          <w:rFonts w:ascii="Times New Roman;Times;Serif" w:hAnsi="Times New Roman;Times;Serif"/>
          <w:b w:val="false"/>
          <w:i w:val="false"/>
          <w:caps w:val="false"/>
          <w:smallCaps w:val="false"/>
          <w:sz w:val="20"/>
        </w:rPr>
        <w:t>. This Agreement, the Voting Agreement, the Commitment Letters, and each of the other documents, instruments and agreements delivered in connection with the Transactions, including the Nondisclosure Agreement, contain the complete agreement between the parties and supersede any prior understandings, agreements or representations by or between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Nothing expressed or referred to in this Agreement will be construed to give any Person other than the parties to this Agreement any legal or equitable right, remedy, or claim under or with respect to this Agreement or any provision of this Agreement, except that (a) the Financing Parties shall be express third party beneficiaries of and have the right to enforce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(b) following the Effective Time, (x) the holders of Shares and Company Awards shall be express third party beneficiaries of, and have the right to enforce the right to receive the consideration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(y) the Indemnitees shall be express third party beneficiaries of, and have the right to enforce,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xml:space="preserve">. THE PARTIES WAIVE ANY RIGHT, TO THE FULLEST EXTENT PERMITTED BY LAW, TO A TRIAL BY JURY IN ANY ACTION, CLAIM OR PROCEEDING (I) ARISING UNDER THIS AGREEMENT, (II) ARISING OUT OF THE TRANSACTIONS CONTEMPLATED HEREBY, REGARDLESS OF WHICH PARTY INITIATES SUCH ACTION OR PROCEEDING, OR (III) ARISING OUT OF OR RELATING TO THE FINANCING OR THE COMMITMENT LETTERS.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each party shall be entitled to an injunction or injunctions to prevent breaches of this Agreement by any other party, to a decree or order of specific performance specifically enforcing the terms and provisions of this Agreement and to any further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rights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are an integral part of the Transactions and each party hereby waives any objections to any remedy referred to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such party shall not be required to obtain, furnish, post or provide any bond or other security in connection with or as a condition to obtaining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if any party initiates a Proceeding to prevent breaches (or threatened breaches) of this Agreement, to enforce specifically the terms of this Agreement, or both, then the Outside Date will be automatically extended by (i) the amount of time during which such Proceeding is pending plus twenty (20) Business Days or (ii) such other time period established by the court presiding over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further agrees that by seeking the remedies provided for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 party shall not in any respect waive its right to seek at any time any other form of relief that may be available to a party under this Agreement and nothing set forth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shall require any party to institute any Proceeding for (or limit any party’s rights to institute any Proceeding for) specific performance under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nor shall the commencement of any action, suit or proceeding pursuant to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pursue any other remedies under this Agreement, the Commitment Letters or otherwise in connection with the Financing that might be available then or thereafter (subject to the terms and conditions set forth herein and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by an electronic signature, electronic scan or electronic transmission in portable document format (.pdf), including DocuSign, .tif, .gif, .jpg or similar delivered by electronic mail,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together with all Proceedings, issues and questions concerning the construction, validity, interpretation and enforceability of this Agreement and the exhibits and schedules hereto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agreements delivered in connection herewith or the transactions contemplated hereby or thereby,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in the manner provided for notices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Nothing in this Agreement will affect the right of any party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This Agreement may only be enforced against, and any Proceeding that may be based upon, in respect of, arise under, out of or by reason of, be connected with or relate in any manner to this Agreement, or the negotiation, execution, performance or breach, of this Agreement, including, any representation or warranty made or alleged to have been made, in connection with or as an inducement to, this Agreement (each of such above-described legal, equitable or other theories or sources of liability, a “</w:t>
      </w:r>
      <w:r>
        <w:rPr>
          <w:rFonts w:ascii="Times New Roman;Times;Serif" w:hAnsi="Times New Roman;Times;Serif"/>
          <w:b w:val="false"/>
          <w:i w:val="false"/>
          <w:caps w:val="false"/>
          <w:smallCaps w:val="false"/>
          <w:sz w:val="20"/>
          <w:u w:val="single"/>
        </w:rPr>
        <w:t>Recourse Theory</w:t>
      </w:r>
      <w:r>
        <w:rPr>
          <w:rFonts w:ascii="Times New Roman;Times;Serif" w:hAnsi="Times New Roman;Times;Serif"/>
          <w:b w:val="false"/>
          <w:i w:val="false"/>
          <w:caps w:val="false"/>
          <w:smallCaps w:val="false"/>
          <w:sz w:val="20"/>
        </w:rPr>
        <w:t xml:space="preserve">”) may only be made or asserted against (and are expressly limited to) the Persons that are expressly identified as parties in the preamble to and signature pages of this Agreement and solely in their capacities as such. No Person who is not a party (including, (a) any former, current or future direct or indirect equity holder, controlling Person, management company, incorporator, member, partner, manager, director, officer, employee, agent, affiliate, assignee, attorney or representative of, and any financial advisor or lender to (all above-described Persons in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collectively, “</w:t>
      </w:r>
      <w:r>
        <w:rPr>
          <w:rFonts w:ascii="Times New Roman;Times;Serif" w:hAnsi="Times New Roman;Times;Serif"/>
          <w:b w:val="false"/>
          <w:i w:val="false"/>
          <w:caps w:val="false"/>
          <w:smallCaps w:val="false"/>
          <w:sz w:val="20"/>
          <w:u w:val="single"/>
        </w:rPr>
        <w:t>Affiliated Persons</w:t>
      </w:r>
      <w:r>
        <w:rPr>
          <w:rFonts w:ascii="Times New Roman;Times;Serif" w:hAnsi="Times New Roman;Times;Serif"/>
          <w:b w:val="false"/>
          <w:i w:val="false"/>
          <w:caps w:val="false"/>
          <w:smallCaps w:val="false"/>
          <w:sz w:val="20"/>
        </w:rPr>
        <w:t xml:space="preserve">”) a party or any affiliate of such party, and (b) any Affiliated Persons of such Affiliated Persons but specifically excluding the parties (the Persons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together with their respective successors, assigns, heirs, executors or administrators, collectively, but specifically excluding the parties, the “</w:t>
      </w:r>
      <w:r>
        <w:rPr>
          <w:rFonts w:ascii="Times New Roman;Times;Serif" w:hAnsi="Times New Roman;Times;Serif"/>
          <w:b w:val="false"/>
          <w:i w:val="false"/>
          <w:caps w:val="false"/>
          <w:smallCaps w:val="false"/>
          <w:sz w:val="20"/>
          <w:u w:val="single"/>
        </w:rPr>
        <w:t>Non-Parties</w:t>
      </w:r>
      <w:r>
        <w:rPr>
          <w:rFonts w:ascii="Times New Roman;Times;Serif" w:hAnsi="Times New Roman;Times;Serif"/>
          <w:b w:val="false"/>
          <w:i w:val="false"/>
          <w:caps w:val="false"/>
          <w:smallCaps w:val="false"/>
          <w:sz w:val="20"/>
        </w:rPr>
        <w:t>”)) will have any liability whatsoever in respect of, based upon or arising out of any Recourse Theory under this Agreement. Without limiting the rights of any party against the other parties as set forth herein, in no event will any party, any of its affiliates or any Person claiming by, through or on behalf of any of them institute any Proceeding under any Recourse Theory against any Non-Party.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Disclosure of any information, item or matter set forth in any section or subsection of the Disclosure Schedules shall be deemed disclosure with respect to, and shall be deemed to apply to and qualify, the section or subsection of the Agreement to which it corresponds in number and each other section or subsection of the Agreement to the extent that it is reasonably apparent on its face that such information, item or matter also qualifies or applies to such other section or subsection. Capitalized terms used and not otherwise defined in the Disclosure Schedules shall have the meanings given to them in this Agreement. Pursuant to Section 268(b) of the DGCL, the Company Disclosure Schedule and the Parent Disclosure Schedule shall not be deemed part of this Agreement for purposes of any provision of the DGCL, but shall have the effects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of the parties contained in this Agreement shall not survive the Closing except that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shall not limit any covenant or agreement of the parties which by its terms contemplates performance in whole or in part after the Effective Time, which shall survive to the extent expressly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prior to the Effective Time, Parent (on behalf of itself and Merger Sub), on the one hand, and the Company, on the other hand, may (a) extend the time for the performance of any obligation or other act of any other party, (b) waive any inaccuracy in the representations and warranties of any other party contained herein or in any document delivered pursuant hereto and (c) waive compliance with any agreement of any other party or any condition to its own obligations contained herein. Any such extension or waiver shall be valid if set forth in an instrument in writing signed by the party or parties to be bound thereby. The failure of any party to assert any of its rights under this Agreement or otherwise shall not constitute a waiver of those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w:t>
      </w:r>
      <w:r>
        <w:rPr>
          <w:rFonts w:ascii="Times New Roman;Times;Serif" w:hAnsi="Times New Roman;Times;Serif"/>
          <w:b w:val="false"/>
          <w:i w:val="false"/>
          <w:caps w:val="false"/>
          <w:smallCaps w:val="false"/>
          <w:sz w:val="20"/>
          <w:u w:val="single"/>
        </w:rPr>
        <w:t>Obligations of Parent, Merger Sub and the Company</w:t>
      </w:r>
      <w:r>
        <w:rPr>
          <w:rFonts w:ascii="Times New Roman;Times;Serif" w:hAnsi="Times New Roman;Times;Serif"/>
          <w:b w:val="false"/>
          <w:i w:val="false"/>
          <w:caps w:val="false"/>
          <w:smallCaps w:val="false"/>
          <w:sz w:val="20"/>
        </w:rPr>
        <w:t>. Whenever this Agreement requires Merger Sub to take any action, such requirement shall be deemed to include an undertaking on the part of Parent to cause Merger Sub to take such action. Whenever this Agreement requires a Subsidiary of the Company to take any action, such requirement shall be deemed to include an undertaking on the part of the Company to cause such Subsidiary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            </w:t>
      </w:r>
      <w:r>
        <w:rPr>
          <w:rFonts w:ascii="Times New Roman;Times;Serif" w:hAnsi="Times New Roman;Times;Serif"/>
          <w:b w:val="false"/>
          <w:i w:val="false"/>
          <w:caps w:val="false"/>
          <w:smallCaps w:val="false"/>
          <w:sz w:val="20"/>
          <w:u w:val="single"/>
        </w:rPr>
        <w:t>Financing Parties</w:t>
      </w:r>
      <w:r>
        <w:rPr>
          <w:rFonts w:ascii="Times New Roman;Times;Serif" w:hAnsi="Times New Roman;Times;Serif"/>
          <w:b w:val="false"/>
          <w:i w:val="false"/>
          <w:caps w:val="false"/>
          <w:smallCaps w:val="false"/>
          <w:sz w:val="20"/>
        </w:rPr>
        <w:t xml:space="preserve">. Notwithstanding anything in this Agreement to the contrary (including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the Company, on behalf of itself, its Subsidiaries and each of its controlled affiliates, hereby: (a) agrees that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legal action to the exclusive jurisdiction of such court, (b) agrees that any such legal action shall be governed by the laws of the State of New York (without giving effect to any conflicts of law principles that would result in the application of the laws of another state), except as otherwise provided in any agreement relating to the Financing and except to the extent relating to the interpretation of any provisions in this Agreement (including any provision in the Commitment Letters or in any definitive documentation related to the Financing that expressly specifies that the interpretation of such provisions shall be governed by and construed in accordance with the law of the State of Delaware), (c) agrees not to bring or support or permit any of its controlled Affiliates to bring or support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in any forum other than any federal or state court in the Borough of Manhattan, New York, New York, (d) irrevocably waives, to the fullest extent that it may effectively do so, the defense of an inconvenient forum to the maintenance of such legal action in any such court, (e) knowingly, intentionally and voluntarily waives to the fullest extent permitted by applicable law any rights or claims to trial by jury in any such legal action brought by or against the Financing Parties in any way arising out of or relating to, this Agreement, the Financing, the Commitment Letters, the Definitive Agreements or the performance thereof or the transactions contemplated hereby or thereby, (f) agrees that this Agreement may not be enforced against any Financing Party and that none of the Financing Parties shall have any liability to the Company or any of its Subsidiaries or any of their respective controlled affiliates or Representatives, nor shall the Company or any of its Subsidiaries or any of their respective controlled affiliates or Representatives have any recourse against the Financing Parties, relating to or arising out of this Agreement, the Financing, the Commitment Letters, the Definitive Agreements or the performance thereof or the transactions contemplated hereby or thereby (subject to the last sentence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whether at law, in equity, in contract, in tort or otherwise, and (g) agrees that the Financing Parties are express third-party beneficiaries of, and may enforce, any of the provisions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that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any definition in this Agreement to the extent that an amendment of such definition would affect the provisions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may not be amended in a manner adverse to the Financing Parties without the written consent of the Financing Entities (such consent not to be unreasonably withheld, conditioned or delayed). Notwithstanding the foregoing, nothing in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shall in any way limit or modify the rights and obligations of Parent or Merger Sub under this Agreement, or any Financing Party’s obligations under the Commitment Letters, or the rights of the Company and its Subsidiaries against the Financing Parties with respect to the Financing or any of the transactions contemplated thereby or any services thereunder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Merger Sub and the Company have caused this Agreement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75"/>
        <w:gridCol w:w="365"/>
        <w:gridCol w:w="545"/>
        <w:gridCol w:w="3980"/>
      </w:tblGrid>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Dream Finders Homes,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Bulldogs Merger Sub,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Beazer Homes USA,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Allan P. Merrill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Amended &amp; Restated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Beazer Homes USA,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c/o The Corporation Trust Company, Corporation Trust Center, 1209 Orange Street, Wilmington, New Castle County, Delaware 19801. The name of its registered agent at such address is: The Corporation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as amended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The Corporation will have perpetual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total number of shares of stock which the Corporation shall have authority to issue is one thousand (1,000) shares of common stock, $0.01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the Common Stock may be issued from time to time as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determine and on such terms and for such consideration as shall be fixed by the Board. The amount of the authorized Common Stock of the Corporation may be increased or decreased by the affirmative vote of the holders of a majority of the outstanding Common Stock of the Corporation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upon the Board by law, the Board shall have the power to make, adopt, alter, amend and repeal from time to time the Bylaws of the Corporation subject to the right of the stockholders entitled to vote with respect thereto to alter, amend and repeal Bylaws made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liability of the directors or former directors of the Corporation to the Corporation or its stockholders for monetary damages for breach of fiduciary duty as a director is hereby eliminated to the fullest extent permitted by law. Any repeal or modification of this Article VII by the stockholders of the Corporation shall not adversely affect any right or protection of a director or former director of the Corporation existing hereunder (or previously existed) with respect to any act or omission occurring prior to such repeal or modification. If the DGCL is hereafter amended to further eliminate or limit the personal liability of directors, then the liability of a director or former director of the Corporation shall be eliminated or limited to the fullest extent then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to the full extent permitted by Section 145 of the DGCL, as amended from time to time, shall indemnify all persons whom it may indemnify pursuant thereto, including, without limitation, its past or present directors and officers. Expenses (including attorneys’ fees) incurred by an officer or director (past or present)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 Any repeal or modification of this Article VIII by the stockholders of the Corporation shall not adversely affect any right or protection of an officer or director or former officer or director of the Corporation existing hereunder (or previously existed) with respect to any act or omission occurring prior to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last sentence of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of this Amended and Restated Certificate of Incorporation, the Corporation reserves the right to amend or repeal any provision contained in this Amended and Restated Certificate of Incorporation, in the manner now or hereafter prescribed by statute, and all rights conferred upon a stockholder herein are granted subject to this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2398d2_ex3-1.htm"/>
      <w:bookmarkStart w:id="5" w:name="kstm2622398d2_ex31"/>
      <w:bookmarkEnd w:id="4"/>
      <w:bookmarkEnd w:id="5"/>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Amended and Restated Bylaws of Beazer Homes USA, Inc. is hereby amended to add new Article XV, to read in its entirety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to the fullest extent permitted by law, (a) the Court of Chancery of the State of Delaware (or, if the Court of Chancery of the State of Delaware lacks subject matter jurisdiction, the federal district court for the District of Delaware) shall be the sole and exclusive forum for any current or former stockholder (including a beneficial owner) to bring (i) any derivative action or proceeding brought on behalf of the Corporation, (ii) any action or proceeding asserting a claim of, or based on, a breach of a fiduciary duty owed, or any other wrongdoing, by any current or former director, officer, other employee, agent or Stockholder of the Corporation to the Corporation or the Stockholders, (iii) any action or proceeding asserting a claim against the Corporation or any current or former director, officer, other employee, agent or Stockholder of the Corporation arising pursuant to any provision of the Delaware General Corporation Law or the Certificate of Incorporation or these By-laws (as any may be amended from time to time) or as to which the Delaware General Corporation Law confers jurisdiction on the Court of Chancery of the State of Delaware, (iv) any action or proceeding to interpret, apply, enforce or determine the validity of the Certificate of Incorporation or these By-laws (as either may be amended from time to time), (v) any action or proceeding asserting a claim against the Corporation or any current or former director, officer, other employee, agent or Stockholder of the Corporation governed by the internal affairs doctrine and (vi) any action or proceeding asserting an “internal corporate claim”, as that term is defined in Section 115 of the General Corporation Law of the State of Delaware; provided, however, that this clause (a) shall not apply to suits brought to enforce a duty or liability created by the Securities Act of 1933, as amended (the “Securities Act”), the Securities Exchange Act of 1934, as amended, or any other claim for which the federal courts have exclusive jurisdiction; and (b) the federal district courts of the United States of America shall be the exclusive forum for the resolution of any complaint asserting a cause of action arising under the Securities Act. The existence of any prior consent by the Corporation to the selection of an alternative forum shall not act as a waiver of the Corporation’s ongoing consent right as set forth above in this Article XV with respect to any current or future actions or claims. Any person or entity purchasing, holding, owning or otherwise acquiring any interest in any security of the Corporation shall be deemed to have notice of and consented to the provisions of this 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6" w:name="tm2622398d2_ex10-1.htm"/>
      <w:bookmarkStart w:id="7" w:name="kstm2622398d2_ex101"/>
      <w:bookmarkEnd w:id="6"/>
      <w:bookmarkEnd w:id="7"/>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August 6, 2026, by and between BEAZER HOMES USA,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DREAM FINDERS HOMES, INC., a Texas corporation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The Company and the Stockholder are each sometimes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the Stockholder, Bulldogs Merger Sub, Inc., a Delaware corporation and a wholly owned Subsidiary of the Stockholder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the Company are entering into an Agreement and Plan of Merger (as the same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subject to the terms and conditions of the Merger Agreement, Merger Sub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being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Stockholder is the record and beneficial owner (as defined in Rule 13d-3 under the Exchange Act) of the number of shares of common stock, par value $0.001 per share, of the Company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xml:space="preserve">”), set forth opposite the Stockholder’s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(all such shares of Company Common Stock, together with any shares of Company Common Stock or other voting equity securities of the Company that are hereafter issued to or otherwise directly or indirectly acquired or beneficially owned (including in connection with an Adjustment) by the Stockholder prior to the Expiration Time (the “</w:t>
      </w:r>
      <w:r>
        <w:rPr>
          <w:rFonts w:ascii="Times New Roman;Times;Serif" w:hAnsi="Times New Roman;Times;Serif"/>
          <w:b w:val="false"/>
          <w:i w:val="false"/>
          <w:caps w:val="false"/>
          <w:smallCaps w:val="false"/>
          <w:sz w:val="20"/>
          <w:u w:val="single"/>
        </w:rPr>
        <w:t>After-Acquired Shares</w:t>
      </w:r>
      <w:r>
        <w:rPr>
          <w:rFonts w:ascii="Times New Roman;Times;Serif" w:hAnsi="Times New Roman;Times;Serif"/>
          <w:b w:val="false"/>
          <w:i w:val="false"/>
          <w:caps w:val="false"/>
          <w:smallCaps w:val="false"/>
          <w:sz w:val="20"/>
        </w:rPr>
        <w:t>”), being referred to herein as the Stockholder’s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willingness of the Company to enter into the Merger Agreement, and as a material inducement and in consideration therefor, the Stockholder has entered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set forth herein, and for other good and valuable consideration, the receipt and sufficiency of which are acknowledged, 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As used in this Agreement, the following terms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 means any stock split, reverse stock split, stock dividend (including any dividend or distribution of Equity Interests convertible into or exercisable or exchangeable for shares of Company Common Stock), recapitalization, reclassification, combination, exchange of shares or other similar event with respect to the capital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Proposal</w:t>
      </w:r>
      <w:r>
        <w:rPr>
          <w:rFonts w:ascii="Times New Roman;Times;Serif" w:hAnsi="Times New Roman;Times;Serif"/>
          <w:b w:val="false"/>
          <w:i w:val="false"/>
          <w:caps w:val="false"/>
          <w:smallCaps w:val="false"/>
          <w:sz w:val="20"/>
        </w:rPr>
        <w:t>” means: (i) any Acquisition Proposal; (ii) any amendment or other change to the Company Charter or the Company By-Laws that would change the voting rights of any Shares or the number of Shares required to adopt the Merger Agreement; (iii) any action, proposal or transaction that would reasonably be expected to result in a breach of any covenant, agreement, representation or warranty or any other obligation of the Company set forth in the Merger Agreement; and (iv) any other action, proposal or transaction that would reasonably be expected to impede, interfere with, delay, postpone, discourage or prevent the consummation of the Merger and the other Transactions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means the earlier to occur of (i) the Effective Time and (ii) the date and time that the Merger Agreement is validly terminated in accordance with the terms and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direct or indirect (i) sale, tender, exchange, assignment, encumbrance, gift, pledge, hypothecation, disposition or other transfer (by operation of Law or otherwise), voluntarily or 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or (z) grant of any irrevocable or revocable proxy or power of attorney with respect to any Covered Shares, except, in each case of sub-clauses (x) through (z), this Agreement or as otherwise expressly provided herein; (iii) entry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a deliberate action taken or deliberate failure to act that the breaching party intentionally takes (or fails to take) and actually knows that it would, or would reasonably be expected to, be or cause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All other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No Transfer; No Inconsistent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From the date hereof until the Expiration Time, the Stockholder agrees not to Transfer any of the Stockholder’s Covered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Stockholder may Transfer Covered Shares to any wholly owned Subsidiary of the Stockholder if such transferee agrees in writing to be bound by the terms of this Agreement, and (y) if any involuntary Transfer of any of the Stockholder’s Covered Shares shall occur (including a sale by the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From the date hereof until the Expiration Time, the Stockholder shall not, directly or indirectly, take any action that would make any representation or warranty of the Stockholder contained herein untrue or incorrect or have the effect of preventing, impairing or materially delaying the Stockholder from performing any of its obligations under this Agreement or that would, or would reasonably be expected to, have the effect of preventing, impairing or materially delaying, the consummation of the Merger or the other Transactions or the performance by the Company of its obligations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xml:space="preserve">. From the date hereof until the Expiration Time, the Stockholder irrevocably and unconditionally agrees that, at every meeting of the stockholders of the Company, however called, including any adjournment or postponement thereof, and in connection with any action proposed to be taken by written consent of the stockholders of the Company, the Stockholder shall, in each case, to the fullest extent that the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adoption of the Merger Agreement and approval of the Merger and the other Transactions and (B) any proposal to adjourn or postpone any meeting of the Company Stockholders to a later date if there are not sufficient votes to approve the Merger Agreement; and (ii) against any Adverse Proposal. Such Stockholder shall retain at all times the right to vote (or execute consents or proxies with respect to) the Stockholder’s Covered Shares in the Stockholder’s sole discretion, and without any other limitation, on any matters other than those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that are at any time or from time to time presented for consideration to the stockholders of the Company generally. For the avoidance of doubt, the foregoing commitments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apply to any Covered Shares held by any trust, limited partnership or other entity directly or indirectly holding Covered Shares over which the applicable Stockholder exercises direct or indirect voting control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Waiver of Certain Actions</w:t>
      </w:r>
      <w:r>
        <w:rPr>
          <w:rFonts w:ascii="Times New Roman;Times;Serif" w:hAnsi="Times New Roman;Times;Serif"/>
          <w:b w:val="false"/>
          <w:i w:val="false"/>
          <w:caps w:val="false"/>
          <w:smallCaps w:val="false"/>
          <w:sz w:val="20"/>
        </w:rPr>
        <w:t xml:space="preserve">. The Stockholder agrees not to commence or participate in, and to take all actions necessary to opt out of any class in any class action with respect to, any claim, derivative or otherwise, against the Company or any of its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Company Board in connection with the Merger Agreement, this Agreement, the Transactions or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(i) limit any actions taken by the Stockholder in response to any claims commenced against the Stockholder, its affiliates or its Representatives, (ii) be deemed a waiver of any rights of the Stockholder for any breach of this Agreement by the Company, or (iii) limit any rights of the Stockholder under this Agreement or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Each Party agrees to notify the other Party of any development occurring after the date hereof that causes, or that would reasonably be expected to cause, any material breach of any of its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Due Organization;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Stockholder is duly organized, validly existing and in good standing under the Laws of the jurisdiction of its formation, (ii) the Stockholder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Stockholder with each of its obligations herein, and the consummation by it of the transactions contemplated hereby have been duly authorized by all necessary corporate action on the part of the Stockholder, and (iv) no other corporate proceedings on the part of the Stockholder are necessary to authorize this Agreement or the consummation by the Stockholder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and validly executed and delivered by the Stockholder and, assuming the due authorization, execution and delivery by the Company, constitutes a legal, valid and binding obligation of the Stockholder, enforceable against the Stockholder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Ownership of the Covered Shares; Voting Power</w:t>
      </w:r>
      <w:r>
        <w:rPr>
          <w:rFonts w:ascii="Times New Roman;Times;Serif" w:hAnsi="Times New Roman;Times;Serif"/>
          <w:b w:val="false"/>
          <w:i w:val="false"/>
          <w:caps w:val="false"/>
          <w:smallCaps w:val="false"/>
          <w:sz w:val="20"/>
        </w:rPr>
        <w:t>. The Stockholder is the record and beneficial owner (as defined in Rule 13d-3 under the Exchange Act) of all of the Stockholder’s Covered Shares and has good and marketable title to all of the Stockholder’s Covered Shares free and clear of any Liens in respect of such Covered Shares, other than those created by this Agreement or those imposed by applicable securities Law (collectively,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The Covered Shares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Stockholder’s name constitute all of the shares of capital stock of the Company or any other securities of the Company beneficially owned by the Stockholder as of the date hereof. As of the date hereof, the Stockholder has not entered into any agreement to Transfer any such Covered Shares. The Stockholder has full voting power with respect to all of the Stockholder’s Covered Shares, and full power of disposition with respect to such Covered Shares, full power to issue instructions with respect to the matters set forth herein and full power to agree to all of the matters set forth in this Agreement, in each case with respect to all of the Stockholder’s Covered Shares. None of the Stockholder’s Covered Shares are subject to any stockholders’ agreement, proxy, voting trust or other agreement, arrangement or Lien with respect to the voting of such Covered Shares, except as expressly provided herein (including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xml:space="preserve">. The execution and delivery of this Agreement by the Stockholder does not, and the performance of this Agreement by the Stockholder and the consummation of the transactions contemplated hereby will not, directly or indirectly (with or without notice or lapse of time, or both), (a) conflict with or violate any provision of the certificate of incorporation or bylaws or equivalent organizational documents of the Stockholder, (b) conflict with or violate any Law applicable to the Stockholder or by which any property or asset of the Stockholder (including the Covered Shares)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Stockholder (including the Covered Shares) pursuant to, any Contract to which the Stockholder is a party or by which the Stockholder or any of the properties or assets of the Stockholder (including the Covered Shares) is bound,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as would not, individually or in the aggregate, reasonably be expected to prevent, impair or delay the consummation by the Stockholder of the transactions contemplated by this Agreement or otherwise prevent, impair or delay the Stockholder’s ability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 Legal Proceedings</w:t>
      </w:r>
      <w:r>
        <w:rPr>
          <w:rFonts w:ascii="Times New Roman;Times;Serif" w:hAnsi="Times New Roman;Times;Serif"/>
          <w:b w:val="false"/>
          <w:i w:val="false"/>
          <w:caps w:val="false"/>
          <w:smallCaps w:val="false"/>
          <w:sz w:val="20"/>
        </w:rPr>
        <w:t>. There are no Proceedings pending against or, to the knowledge of the Stockholder, threatened against or affecting the Stockholder or any of the Stockholder’s properties or assets (including any of the Stockholder’s Covered Shares), at law or in equity, or before or by any Governmental Entity, that would, individually or in the aggregate, reasonably be expected to prevent, impair or delay the consummation by the Stockholder of the transactions contemplated by this Agreement or otherwise prevent, impair or delay the Stockholder’s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Opportunity to Review; Reliance</w:t>
      </w:r>
      <w:r>
        <w:rPr>
          <w:rFonts w:ascii="Times New Roman;Times;Serif" w:hAnsi="Times New Roman;Times;Serif"/>
          <w:b w:val="false"/>
          <w:i w:val="false"/>
          <w:caps w:val="false"/>
          <w:smallCaps w:val="false"/>
          <w:sz w:val="20"/>
        </w:rPr>
        <w:t>. The Stockholder has had the opportunity to review the Merger Agreement and this Agreement with counsel of the Stockholder’s own choosing. The Stockholder understands and acknowledges that the Company is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Stockholder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Due Organization;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is duly organized, validly existing and in good standing under the Laws of the jurisdiction of its formation, (ii) the Company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Company with each of its obligations herein, and the consummation by it of the transactions contemplated hereby have been duly authorized by all necessary corporate action on the part of the Company, and (iv) no other corporate proceedings on the part of the Company are necessary to authorize this Agreement or the consummation by the Company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and validly executed and delivered by the Company and, assuming the due authorization, execution and delivery by the Stockholder,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xml:space="preserve">. The execution and delivery of this Agreement by the Company does not, and the performance of this Agreement by the Company and the consummation of the transactions contemplated hereby will not, directly or indirectly (with or without notice or lapse of time, or both), (a) conflict with or violate any provision of the certificate of incorporation or bylaws or equivalent organizational documents of the Company, (b) conflict with or violate any Law applicable to the Company or by which any property or asset of the Company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Company pursuant to, any Contract to which the Company is a party or by which the Company or any of the properties or assets of the Company is bound,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as would not, individually or in the aggregate, reasonably be expected to prevent, impair or delay the consummation by the Company of the transactions contemplated by this Agreement or otherwise prevent, impair or delay the Company’s ability to perform the Company’s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No Legal Proceedings</w:t>
      </w:r>
      <w:r>
        <w:rPr>
          <w:rFonts w:ascii="Times New Roman;Times;Serif" w:hAnsi="Times New Roman;Times;Serif"/>
          <w:b w:val="false"/>
          <w:i w:val="false"/>
          <w:caps w:val="false"/>
          <w:smallCaps w:val="false"/>
          <w:sz w:val="20"/>
        </w:rPr>
        <w:t>. There are no Proceedings pending against or, to the knowledge of the Company, threatened against or affecting the Company or any of the Company’s properties or assets, at law or in equity, or before or by any Governmental Entity, that would, individually or in the aggregate, reasonably be expected to prevent, impair or delay the consummation by the Company of the transactions contemplated by this Agreement or otherwise prevent, impair or delay the Company’s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 Other Representations</w:t>
      </w:r>
      <w:r>
        <w:rPr>
          <w:rFonts w:ascii="Times New Roman;Times;Serif" w:hAnsi="Times New Roman;Times;Serif"/>
          <w:b w:val="false"/>
          <w:i w:val="false"/>
          <w:caps w:val="false"/>
          <w:smallCaps w:val="false"/>
          <w:sz w:val="20"/>
        </w:rPr>
        <w:t xml:space="preserve">. The Company acknowledges and agrees that, except for the representations and warranties of the Stockholder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Article IV of the Merger Agreement or any certificate provided in connection with the Merger Agreement, the Stockholder is not making and has not made, and no other Person is making or has made, on behalf of the Stockholder, any express or implied representation or warranty in connection with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Unless earlier terminated by the written consent of the Company (in its sole and absolute discretion), this Agreement shall terminate automatically and shall have no further force or effect as of the Expiration Time. Upon termination of this Agreement, no Party shall have any further obligations or liabilities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nothing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relieve any Party from liability for Willful and Material Breach of this Agreement prior to termination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Effective Time shall have occurred, the Stockholder shall not have any liability or other obligation hereunder whatsoever, including with respect to any Willful and Material Breach occurring prior thereto and (y)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the Company, without the prior written consent of the Stockholder, or (b) the Stockholder, without the prior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xml:space="preserve">. This Agreement may be amended, and any provision of this Agreement may be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amendment or waiver shall be binding upon the Stockholder only if such amendment or waiver is set forth in a writing executed by the Stockholder, and any such amendment or waiver shall be binding upon the Company only if such amendment or waiver is set forth in a writing executed by the Company. No waiver of any provision hereunder or any breach or default thereof shall extend to or affect in any way any other provision or prior or subsequent breach 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Enforcement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rights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the transactions contemplated hereby and each Party hereby waives any objections to any remedy referred to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such Party shall not be required to obtain, furnish, post or provide any bond or other security in connection with or as a condition to obtaining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consents and other communications hereunder shall be in writing and shall be given in the manner described in Section 9.2 of the Merger Agreement, addressed as follows: (i) if to the Company, to the email addresses set forth in Section 9.2 of the Merger Agreement, and (ii) if to the Stockholder, to the email addresses set forth in Section 9.2 of the Merger Agreement, or to such other email address as such Party may hereafter specify for the purpose by notice to each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all Proceedings, issues and questions concerning the construction, validity, interpretation and enforceability of this Agreement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contemplated hereby,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transactions contemplated 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sz w:val="20"/>
          <w:u w:val="single"/>
        </w:rPr>
        <w:t>Section 8.6(b)</w:t>
      </w:r>
      <w:r>
        <w:rPr>
          <w:rFonts w:ascii="Times New Roman;Times;Serif" w:hAnsi="Times New Roman;Times;Serif"/>
          <w:b w:val="false"/>
          <w:i w:val="false"/>
          <w:caps w:val="false"/>
          <w:smallCaps w:val="false"/>
          <w:sz w:val="20"/>
        </w:rPr>
        <w:t xml:space="preserve"> in the manner provided for notices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Nothing in this Agreement will affect the right of any Party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THE PARTIES WAIVE ANY RIGHT, TO THE FULLEST EXTENT PERMITTED BY LAW, TO A TRIAL BY JURY IN ANY ACTION, CLAIM OR PROCEEDING (A) ARISING UNDER THIS AGREEMENT OR (B) ARISING OUT OF THE TRANSACTIONS CONTEMPLATED HEREBY, REGARDLESS OF WHICH PARTY INITIATES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Complete Agreement;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Merger Agreement (together with the Exhibits, Disclosure Schedules and the other documents delivered pursuant thereto) and each of the other documents, instruments and agreements delivered in connection with the transactions contemplated hereby and thereby contain the complete agreement between the Parties and supersede any prior understandings, agreements or representations by or between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expressed or referred to in this Agreement will be construed to give any Person other than the Parties any legal or equitable right, remedy, or claim under or with respect to this Agreement or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by Electronic Delivery),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Mutual Drafting;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Headings of the articles and sections of this Agreement are for convenience of the Parties only and shall be given no substantive or interpretive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“hereof,” “herein” and “hereunder” and words of similar import referring to this Agreement refer to this Agreement as a whole and not to any particular provision of this Agreement. The word “including” shall mean “including, without limitation”. The words “shall” and “will” mean “must,” and shall and will have equal force and effect and express an obligation. The word “extent” in the phrase “to the extent” shall mean the degree to which a subject or other thing extends, and such phrase shall not mean simply “if.” All references to “$” shall be deemed references to United States dollars. The word “or” is not exclusive, and shall be interpreted as “and/or”. The term “affiliates” shall have the meaning set forth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All costs and expenses incurred in connection with this Agreement shall be paid by the Party incurring such cost or expense. For the avoidance of doubt, nothing in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interpreted as in any way limiting the Stockholder’s right to the Company Termination Fee in circumstances in which the Stockholder is entitled to receive the Company Termination Fee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Stockholder will execute and deliver, or cause to be executed and delivered, all further documents and instruments and use the Stockholder’s reasonable best efforts to take, or cause to be taken, all actions and to do, or cause to be done, all things necessary, proper or advisable under applicable Law, to perform the Stockholder’s obligations under this Agreement, as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560"/>
        <w:gridCol w:w="4145"/>
        <w:gridCol w:w="75"/>
      </w:tblGrid>
      <w:tr>
        <w:trPr/>
        <w:tc>
          <w:tcPr>
            <w:tcW w:w="47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USA, INC.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Allan P. Merrill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4209" w:type="dxa"/>
        <w:jc w:val="center"/>
        <w:tblInd w:w="0" w:type="dxa"/>
        <w:tblLayout w:type="fixed"/>
        <w:tblCellMar>
          <w:top w:w="0" w:type="dxa"/>
          <w:left w:w="0" w:type="dxa"/>
          <w:bottom w:w="28" w:type="dxa"/>
          <w:right w:w="0" w:type="dxa"/>
        </w:tblCellMar>
      </w:tblPr>
      <w:tblGrid>
        <w:gridCol w:w="2765"/>
        <w:gridCol w:w="60"/>
        <w:gridCol w:w="103"/>
        <w:gridCol w:w="1206"/>
        <w:gridCol w:w="75"/>
      </w:tblGrid>
      <w:tr>
        <w:trPr/>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br/>
              <w:t xml:space="preserve">Company </w:t>
              <w:br/>
              <w:t>Common Stock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A to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2398d2_ex99-1.htm"/>
      <w:bookmarkStart w:id="9" w:name="kstm2622398d2_ex991"/>
      <w:bookmarkEnd w:id="8"/>
      <w:bookmarkEnd w:id="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 Finders Homes to Acquire Beazer Homes, Creating Sixth-Largest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Homebuilder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Combination will create a scaled national homebuilder with complementary footprints and a clear path to accelerated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Expected to generate significant synergies and be double-digit percentage accretive to EPS in year one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Broadens the combined company's ability to serve buyers at every life stage – from entry-level homes to move-up communities – through an enhanced, fully integrated homebuying experience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Beazer shareholders to receive $33.50 per share in cash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Dream Finders reaffirms its full-year 2026 outlook of 9,250 homes, reflecting confidence in near-term execution and the strength of its standalone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Fla. &amp; ATLANTA — August 7, 2026 — Dream Finders Homes, Inc. (NYSE: DFH) ("Dream Finders") and Beazer Homes USA, Inc. (NYSE: BZH) ("Beazer") today announced that they have entered into a definitive agreement under which Dream Finders will acquire Beazer in an all-cash transaction at an enterprise value of approximately $2.2 billion. Under the terms of the agreement, Beazer shareholders will receive $33.50 in cash for each share of Beazer common stock, representing an implied purchase price-to-book multiple of 0.8x.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is a leading national homebuilder operating in 15 markets across 13 states. The company designs, builds and sells new homes across a range of communities and price points, specializing in personalized homebuilding, land development, and homebuyer financing to make homeownership more attainable.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two companies will form the nation's sixth-largest homebuilder,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with highly complementary footprints, expanded product offerings, and deeper capabilities across many of the country's largest and fastest-growing housing markets. The combination also brings together two exceptional teams, deepening the combined company's bench of experienced homebuilding talent, operational expertise, and customer-focused culture that will serve as the foundation for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combined company will operate in 26 markets and approximately 520 active communities across the Southeast, Mid-Atlantic, Texas, the West, and the Midwest – regions that represent some of the highest demand corridors in the country. With increased reach across both entry-level and move-up communities, the platform is well-positioned to serve a broader buyer base across multiple price points, while driving meaningful affordability improvements through purchasing efficiencies and a more seamless homebuying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Based on CY2025A revenue within U.S. headquartered home builders.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Zalupski, Founder, CEO, and Co-Chairman of Dream Finders, said, "As someone who started Dream Finders from the ground up, I know what it takes to build a culture that puts homebuyers first, and that's exactly what I see in Beazer. They have built something genuinely special – a talented team, strong communities, and a culture that puts customers at the center of everything they do. That resonates deeply with us. This combination is the next meaningful step in our journey to become a top 5 national homebuilder, expanding our geographic reach, broadening the range of buyers we can serve, and strengthening the integrated services we offer families from contract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Zalupski continued, “Together, I believe we'll build something enduring – a company with the scale to compete nationally, but always with the care and commitment that has defined both of our companies from day one. I want to recognize the incredible dedication of both the Beazer and Dream Finders teams who have worked tirelessly to reach this moment. I couldn't be prouder of what we've accomplished together, and I am genuinely excited to get this over the finish line and start building our future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Beckwitt, Co-Chairman of Dream Finders, said, “This transaction represents an important milestone for Dream Finders and reflects our Board's confidence in the strategic and financial merits of combining two leading companies. Patrick and the team have mapped out a detailed integration plan to maximize synergies that will drive long-term growth and profitability.”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Beckwitt added, “We have great respect for what Alan Merrill and the Beazer team have accomplished. We look forward to executing our strategy as a larger and even stronger company and welcoming a very talented group of Beazer employees to the Dream Finders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 Chairman, President and CEO of Beazer Homes, said, “Over nearly 20 years, we have transformed Beazer into one of the nation’s largest homebuilders through a strategy focused on delivering on energy efficient homes and best-in-class customer experiences. This transaction represents the culmination of a comprehensive review of opportunities to maximize value and provides Beazer shareholders with a significant and certain cash return in an uncertain market. I am proud of our people and want to thank our entire organization for their exceptional work to ensure that, together with Dream Finders, we continue providing homebuyers across the country with a high-quality product and outstanding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&amp; Financial Transaction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Will establish the sixth-largest U.S. homebuilder with complementary geographic footprints spanning 26 of the top 50 MSAs</w:t>
            </w:r>
            <w:r>
              <w:rPr>
                <w:rFonts w:ascii="Times New Roman;Times;Serif" w:hAnsi="Times New Roman;Times;Serif"/>
                <w:position w:val="8"/>
                <w:sz w:val="19"/>
              </w:rPr>
              <w:t>2</w:t>
            </w:r>
            <w:r>
              <w:rPr>
                <w:rFonts w:ascii="Times New Roman;Times;Serif" w:hAnsi="Times New Roman;Times;Serif"/>
              </w:rPr>
              <w:t>, broadening exposure to the country's highest-growth markets and unlocking a powerful platform for long-term expansion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Complementary product strategies across entry-level and move-up positions, improving margin mix, reducing cycle times; anticipate the combined company will compete more effectively across a broader range of buyers and price points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Enhances the homebuying experience through lower unit costs and expanded financial services, utilizing Dream Finders' in-house title insurance and mortgage banking capabilities to deliver greater value and convenience to customers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Expected to generate over $100 million in annual run-rate cost synergies from production efficiencies, purchasing improvements, reduced overhead costs, elimination of duplicate public company costs, higher mortgage and title insurance capture rates, and lower insurance costs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Expected to be double-digit percentage accretive to EPS in year one, underpinned by strong revenue growth, disciplined cost management, and rapid synergy realization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Details About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expects to finance the transaction through a combination of existing capital resources and committed financing from Goldman Sachs, Bank of America, and affiliates of Kennedy Lewis Asset Management. Following transaction close, Dream Finders expects to continue executing its growth plans while maintaining its commitment to a 100% land-light strategy. Dream Finders is committed to returning to or improving current leverage metrics within 18 to 24 months, which aligns with the Company’s commitment to building scale while reducing leverage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Metropolitan Statistical Area Defined by The U.S. Office of Management and Budget, which are ranked by population size.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unanimously approved by the boards of directors of both companies and is expected to close in the fourth quarter of 2026, subject to customary closing conditions, including approval by Beazer shareholders and receipt of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 Finders Homes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also reaffirmed its full year 2026 outlook of approximately 9,250 home closings for the full year 2026, as announced in second quarter 2026 results on July 30, 2026. Such outlook does not take into account any home closings arising from Beazer’s operations that may occur after closing or any other impacts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Fiscal Third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separate press release issued today, Beazer reports fiscal third quarter 2026 financial results. Given the pending transaction with Dream Finders Homes, Beazer is withdrawing its previously issued financial outlook and will not host its earnings conference call and webcast that was previously scheduled for Monday,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BofA Securities, Zelman Partners and Vestra Advisors are acting as financial advisors to Dream Finders, Foley &amp; Lardner LLP is acting as legal counsel and Edelman Smithfield is acting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 Morgan Securities LLC and Moelis &amp; Company LLC are acting as Beazer’s financial advisors. King &amp; Spalding LLP is serving as legal advisor. Collected Strategies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announcement.dreamfindershomes.com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Dream Finders Homes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(NYSE: DFH), headquartered in Jacksonville, Florida, was recognized as the 2025 National Builder of the Year by Builder magazine. Dream Finders Homes builds single-family homes throughout the Southeast, Mid-Atlantic and Midwest, including Florida, Texas, Tennessee, North Carolina, South Carolina, Georgia, Colorado, Arizona, and the Washington, D.C. metropolitan area, which comprises Washington D.C., Northern Virginia and Maryland. As the Official Home Builder of the PGA TOUR, the Jacksonville Jaguars and the Tampa Bay Rays, Dream Finders Homes is deeply committed to excellence beyond homebuilding and into the communities it serves. Through its wholly owned subsidiaries, DFH also provides mortgage financing as well as title agency and underwriting services to homebuyers. Dream Finders Homes achieves its growth and returns by maintaining an asset-light homebuilding model. For more information, please visit </w:t>
      </w:r>
      <w:r>
        <w:rPr>
          <w:rFonts w:ascii="Times New Roman;Times;Serif" w:hAnsi="Times New Roman;Times;Serif"/>
          <w:b w:val="false"/>
          <w:i w:val="false"/>
          <w:caps w:val="false"/>
          <w:smallCaps w:val="false"/>
          <w:sz w:val="20"/>
          <w:u w:val="single"/>
        </w:rPr>
        <w:t>www.dreamfindershomes.com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Beazer Homes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(NYSE: BZH), headquartered in Atlanta, Georgia, is a leading national homebuilder in energy-efficient construction. Building on a legacy spanning nine generations, Beazer crafts homes that deliver savings and lasting value. Beazer’s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Beazer builds in 13 states nationwide. For more information, visit </w:t>
      </w:r>
      <w:r>
        <w:rPr>
          <w:rFonts w:ascii="Times New Roman;Times;Serif" w:hAnsi="Times New Roman;Times;Serif"/>
          <w:b w:val="false"/>
          <w:i w:val="false"/>
          <w:caps w:val="false"/>
          <w:smallCaps w:val="false"/>
          <w:sz w:val="20"/>
          <w:u w:val="single"/>
        </w:rPr>
        <w:t>www.beazer.com</w:t>
      </w:r>
      <w:r>
        <w:rPr>
          <w:rFonts w:ascii="Times New Roman;Times;Serif" w:hAnsi="Times New Roman;Times;Serif"/>
          <w:b w:val="false"/>
          <w:i w:val="false"/>
          <w:caps w:val="false"/>
          <w:smallCaps w:val="false"/>
          <w:sz w:val="20"/>
        </w:rPr>
        <w:t xml:space="preserve">, or check out Beazer on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press release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Dream Finders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Contacts: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Jonathan Salzberger / Scott Winter</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Innisfree M&amp;A Incorporated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(212) 750-5833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Media Contact: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DFH@edelmansmithfield.com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Beazer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br/>
        <w:t>Sr. Vice President &amp; Chief Financial Officer</w:t>
        <w:br/>
        <w:t>770-829-3700</w:t>
        <w:br/>
      </w:r>
      <w:r>
        <w:rPr>
          <w:rFonts w:ascii="Times New Roman;Times;Serif" w:hAnsi="Times New Roman;Times;Serif"/>
          <w:b w:val="false"/>
          <w:i w:val="false"/>
          <w:caps w:val="false"/>
          <w:smallCaps w:val="false"/>
          <w:sz w:val="20"/>
          <w:u w:val="single"/>
        </w:rPr>
        <w:t>investor.relations@beazer.com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Media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Lamplough / Jim Golden / Clayton Erwin</w:t>
        <w:br/>
        <w:t>Collected Strategies</w:t>
        <w:br/>
      </w:r>
      <w:r>
        <w:rPr>
          <w:rFonts w:ascii="Times New Roman;Times;Serif" w:hAnsi="Times New Roman;Times;Serif"/>
          <w:b w:val="false"/>
          <w:i w:val="false"/>
          <w:caps w:val="false"/>
          <w:smallCaps w:val="false"/>
          <w:sz w:val="20"/>
          <w:u w:val="single"/>
        </w:rPr>
        <w:t>Beazer-CS@collectedstrategies.com</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72884</Words>
  <Characters>389989</Characters>
  <CharactersWithSpaces>467225</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