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398d9_defa14a.htm"/>
      <w:bookmarkStart w:id="1" w:name="kstm2622398d9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14A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BEAZER HOMES USA,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August 7, 2026, the following script was used by certain executive officers of Beazer Homes USA, Inc., at a meeting with its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Town Hall Remarks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today’s news is, in some ways, shocking. As you can imagine, today is an emotional day for me too, so I have taken the time to write down what I wanted to say – and I hope you will excuse me for reading 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Background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facts. We have agreed to sell the Company for $33.50 per share. While that is certainly below book value, it is a very high multiple of earnings this year and of Wall Street’s expectations for earnings next year. It is also a big premium to where our stock was trading before a public offer was made, and a much higher price than the original $25.75 public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all know very well, that initial offer in May generated publicity. A lot of it. It also generated quite a few inbound inquiries from other builders and from our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Board’s response was exactly right.</w:t>
      </w:r>
      <w:r>
        <w:rPr>
          <w:rFonts w:ascii="Times New Roman;Times;Serif" w:hAnsi="Times New Roman;Times;Serif"/>
          <w:b w:val="false"/>
          <w:i w:val="false"/>
          <w:caps w:val="false"/>
          <w:smallCaps w:val="false"/>
          <w:sz w:val="20"/>
        </w:rPr>
        <w:t xml:space="preserve"> They listened. They sought advice from independent legal counsel and financial advisors, and, as I have said before, they had the legal and fiduciary right to consider more options, including our standalone plan and transactions that would not have resulted in a sale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process has been exhaustive, and I am grateful to our Board for the time and effort they put into their deliberations. Today we are announcing the conclusion of that review with our agreement to sell the Company to Dream Finders.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Board’s Deliberations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 obviously can’t provide every detail of the Board’s deliberations, I can give you some of the key considerations.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First</w:t>
      </w:r>
      <w:r>
        <w:rPr>
          <w:rFonts w:ascii="Times New Roman;Times;Serif" w:hAnsi="Times New Roman;Times;Serif"/>
          <w:b w:val="false"/>
          <w:i w:val="false"/>
          <w:caps w:val="false"/>
          <w:smallCaps w:val="false"/>
          <w:sz w:val="20"/>
        </w:rPr>
        <w:t>, our industry is in the middle of a significant wave of consolidation. Just in the last couple of years, Richmond, Tri-Pointe, and Taylor Morrison all agreed to sell their companies. One of the common threads in these deals has been the belief that scale, at a corporate and division level, creates better returns.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Second</w:t>
      </w:r>
      <w:r>
        <w:rPr>
          <w:rFonts w:ascii="Times New Roman;Times;Serif" w:hAnsi="Times New Roman;Times;Serif"/>
          <w:b w:val="false"/>
          <w:i w:val="false"/>
          <w:caps w:val="false"/>
          <w:smallCaps w:val="false"/>
          <w:sz w:val="20"/>
        </w:rPr>
        <w:t>, the macro environment has been much tougher this year than any of us anticipated. Rates have moved back up and consumer confidence has been very 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Third</w:t>
      </w:r>
      <w:r>
        <w:rPr>
          <w:rFonts w:ascii="Times New Roman;Times;Serif" w:hAnsi="Times New Roman;Times;Serif"/>
          <w:b w:val="false"/>
          <w:i w:val="false"/>
          <w:caps w:val="false"/>
          <w:smallCaps w:val="false"/>
          <w:sz w:val="20"/>
        </w:rPr>
        <w:t>, many of our shareholders have been very vocal that they would prefer a near-term cash premium rather than waiting for our differentiated product proposition to generate outsized sales paces and margins. Not that they don’t think we can do it, but they have expressed a preference to receive a cash premium now because it is less risky.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have to remember, shareholders, in fact, own the Company. For these reasons and others, our Board concluded that Dream Finders’ revised proposal was in the best interest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Dream Finders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I’d like to take a moment to comment on Dream Finders. As they have said publicly, they have had an interest in combining our businesses for a long time. They have been consistent in that view, and they have increased their offer many times to get this deal done. To arrive at their revised offer, their team conducted thorough due diligence. They were intelligent, efficient, and highly respectful during that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have rapidly and successfully grown their Company over the past decade, and the Senior Leadership Team and I have pledged to help them make this transition and integration successful as well.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Context for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like you to indulge me for a few minutes as I try to put this transaction in context.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you have been here as long, or longer, than I have. For me, that’s 19 years. But my history with the Company goes back much further.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early 1990s, the firm I worked for was hired to sell Beazer’s U.S. homebuilding assets by the U.K.-based conglomerate – Hanson plc - that had just won a hostile takeover for the global Beazer company called Beazer plc. The value of those U.S. assets was about $50 million.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didn’t think it was a great time to sell a homebuilder, so I made the case to Mr. Beazer and his new corporate parent company that they should get bigger through an acquisition and then go public. And that’s exactly what we did. In February of 1994, I was at the NYSE when this Company completed an IPO.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Jump forward to 2007, when I formally joined the Company as CFO. We were in all sorts of trouble, and the Great Housing Crisis was just starting.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2011, when I was privileged to be named CEO, we had navigated a series of legal and regulatory challenges that would have made Odysseus tired. But we still had a daunting list of competitive problems:</w:t>
      </w:r>
    </w:p>
    <w:p>
      <w:pPr>
        <w:pStyle w:val="TextBody"/>
        <w:bidi w:val="0"/>
        <w:spacing w:before="0" w:after="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25"/>
        <w:gridCol w:w="44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90" w:type="dxa"/>
            <w:tcBorders/>
            <w:vAlign w:val="center"/>
          </w:tcPr>
          <w:p>
            <w:pPr>
              <w:pStyle w:val="TableContents"/>
              <w:bidi w:val="0"/>
              <w:spacing w:before="0" w:after="283"/>
              <w:jc w:val="left"/>
              <w:rPr/>
            </w:pPr>
            <w:r>
              <w:rPr/>
              <w:t>Employee morale was poor.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90" w:type="dxa"/>
            <w:tcBorders/>
            <w:vAlign w:val="center"/>
          </w:tcPr>
          <w:p>
            <w:pPr>
              <w:pStyle w:val="TableContents"/>
              <w:bidi w:val="0"/>
              <w:spacing w:before="0" w:after="283"/>
              <w:jc w:val="left"/>
              <w:rPr/>
            </w:pPr>
            <w:r>
              <w:rPr/>
              <w:t>We didn’t have any competitive differentiation.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Our customers didn’t like us very much, so warranty spending was spiking.</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And we had a terrible, debt-laden balance sheet. In fact, one analyst published a report with a zero-dollar price target for our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all pretty bleak, and no one was rooting for us or even confident we would survive.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that as a starting point I think we should take a moment to reflect on what we have done together since then, because it’s amazing: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We took on the challenge of building the best, most energy-efficient homes in the country.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We became the number one rated builder on TrustBuilder, the only verified-owner ratings site for homebuilders.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We built a mortgage choice platform that introduced real competition and rate savings for homebuyers.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We fixed our balance sheet, paying off hundreds of millions of dollars in debt.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We created and implemented a growth path that will see us reach 200 communities next year.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And while doing all that, we launched Charity title and home insurance companies that allowed us to create the ground-breaking Beazer Charity Foundation. Three months ago, we were presented with the prestigious Hearthstone Humanitarian Award, recognizing the creativity and massive scale of our philanthropic efforts with Fisher House and many local partners.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do you know </w:t>
      </w:r>
      <w:r>
        <w:rPr>
          <w:rFonts w:ascii="Times New Roman;Times;Serif" w:hAnsi="Times New Roman;Times;Serif"/>
          <w:b/>
          <w:i/>
          <w:caps w:val="false"/>
          <w:smallCaps w:val="false"/>
          <w:sz w:val="20"/>
        </w:rPr>
        <w:t>how</w:t>
      </w:r>
      <w:r>
        <w:rPr>
          <w:rFonts w:ascii="Times New Roman;Times;Serif" w:hAnsi="Times New Roman;Times;Serif"/>
          <w:b w:val="false"/>
          <w:i w:val="false"/>
          <w:caps w:val="false"/>
          <w:smallCaps w:val="false"/>
          <w:sz w:val="20"/>
        </w:rPr>
        <w:t xml:space="preserve"> we did all that? As a team, with an extraordinary culture that you built.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 engagement scores nearly broke the measurement system of Culture Amp, our survey provider. They had never seen the level of participation in a survey like ours, nor had they seen the pride in product and in each other that our surveys reflected.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w:t>
      </w:r>
      <w:r>
        <w:rPr>
          <w:rFonts w:ascii="Times New Roman;Times;Serif" w:hAnsi="Times New Roman;Times;Serif"/>
          <w:b w:val="false"/>
          <w:i w:val="false"/>
          <w:caps w:val="false"/>
          <w:smallCaps w:val="false"/>
          <w:sz w:val="20"/>
        </w:rPr>
        <w:t xml:space="preserve"> did that. And nothing will ever diminish the magnitude of your product, customer, and culture achievements.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created a lot of value for our bondholders and shareholders over the years. I don’t have all the calculations at my fingertips, but when you add the value of today’s transaction, over $2 billion, plus the hundreds of millions of dollars of debt we repaid and the shares we repurchased, it’s got to be pushing $3 billion. Not bad for a Company that nearly got sold for $50 million in 1992 and that had a zero-dollar price target in 2011.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What’s Next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is bittersweet, for sure. As with any combination of this sort, things will change. But things always change in life and in business. In this case, we can take enormous pride in what we built and be optimistic about what we can do next.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CEO of this Company has been the greatest privilege of my life. The relationships we have formed are my most cherished accomplishments. But now I am committed to helping Dream Finders with this transition and to each of you, as you continue to progress in your careers.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confidence, your efforts, your achievements, and, mostly, for your support.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Logistics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you all have questions. And, in time, we will be able to answer them. Here’s what I know so far: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coming days Dream Finders’ will be collaborating with our team on integration plans, but this is still Day One and much planning is still to come. Dream Finders is active in many of the same areas we are, but there are also some areas where our divisions will be their starting point. In either instance, I know they will need much of our talent to continue to deliver exceptional value for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timing…this transaction is subject to shareholder and regulatory approval. In the meantime, we need to keep selling and building great homes. We will be running the business as we normally do, including completing land acquisitions and sales. And we will work with Dream Finders as they roll out their integration plans, which will take effect upon closing, which we anticipate will take place in the fourth quarter of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listening to me this morning. And remember, in the midst of all the emotions we are feeling today – please be proud of what we have accomplished. Together.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2538</Words>
  <Characters>13034</Characters>
  <CharactersWithSpaces>15611</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