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0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reported event): February 5, 2026</w:t>
      </w:r>
    </w:p>
    <w:p>
      <w:pPr>
        <w:spacing w:after="0" w:line="3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BEAZER HOMES USA,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9" w:lineRule="exact"/>
        <w:rPr>
          <w:sz w:val="24"/>
          <w:szCs w:val="24"/>
          <w:color w:val="auto"/>
        </w:rPr>
      </w:pPr>
    </w:p>
    <w:tbl>
      <w:tblPr>
        <w:tblLayout w:type="fixed"/>
        <w:tblInd w:w="940" w:type="dxa"/>
        <w:tblCellMar>
          <w:top w:w="0" w:type="dxa"/>
          <w:left w:w="0" w:type="dxa"/>
          <w:bottom w:w="0" w:type="dxa"/>
          <w:right w:w="0" w:type="dxa"/>
        </w:tblCellMar>
      </w:tblPr>
      <w:tr>
        <w:trPr>
          <w:trHeight w:val="227"/>
        </w:trPr>
        <w:tc>
          <w:tcPr>
            <w:tcW w:w="2200" w:type="dxa"/>
            <w:vAlign w:val="bottom"/>
          </w:tcPr>
          <w:p>
            <w:pPr>
              <w:jc w:val="center"/>
              <w:ind w:right="4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001-12822</w:t>
            </w:r>
          </w:p>
        </w:tc>
        <w:tc>
          <w:tcPr>
            <w:tcW w:w="1820" w:type="dxa"/>
            <w:vAlign w:val="bottom"/>
          </w:tcPr>
          <w:p>
            <w:pPr>
              <w:jc w:val="center"/>
              <w:ind w:left="622"/>
              <w:spacing w:after="0"/>
              <w:rPr>
                <w:sz w:val="20"/>
                <w:szCs w:val="20"/>
                <w:color w:val="auto"/>
              </w:rPr>
            </w:pPr>
            <w:r>
              <w:rPr>
                <w:rFonts w:ascii="Times New Roman" w:cs="Times New Roman" w:eastAsia="Times New Roman" w:hAnsi="Times New Roman"/>
                <w:sz w:val="18"/>
                <w:szCs w:val="18"/>
                <w:b w:val="1"/>
                <w:bCs w:val="1"/>
                <w:color w:val="auto"/>
              </w:rPr>
              <w:t>58-2086934</w:t>
            </w:r>
          </w:p>
        </w:tc>
      </w:tr>
      <w:tr>
        <w:trPr>
          <w:trHeight w:val="148"/>
        </w:trPr>
        <w:tc>
          <w:tcPr>
            <w:tcW w:w="2200" w:type="dxa"/>
            <w:vAlign w:val="bottom"/>
          </w:tcPr>
          <w:p>
            <w:pPr>
              <w:jc w:val="center"/>
              <w:ind w:right="4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820" w:type="dxa"/>
            <w:vAlign w:val="bottom"/>
          </w:tcPr>
          <w:p>
            <w:pPr>
              <w:jc w:val="center"/>
              <w:ind w:left="6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00" w:type="dxa"/>
            <w:vAlign w:val="bottom"/>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20" w:type="dxa"/>
            <w:vAlign w:val="bottom"/>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2200" w:type="dxa"/>
            <w:vAlign w:val="bottom"/>
          </w:tcPr>
          <w:p>
            <w:pPr>
              <w:spacing w:after="0"/>
              <w:rPr>
                <w:sz w:val="24"/>
                <w:szCs w:val="24"/>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2002 Summit Boulevard, 15th Floor</w:t>
            </w:r>
          </w:p>
        </w:tc>
        <w:tc>
          <w:tcPr>
            <w:tcW w:w="1820" w:type="dxa"/>
            <w:vAlign w:val="bottom"/>
          </w:tcPr>
          <w:p>
            <w:pPr>
              <w:spacing w:after="0"/>
              <w:rPr>
                <w:sz w:val="24"/>
                <w:szCs w:val="24"/>
                <w:color w:val="auto"/>
              </w:rPr>
            </w:pPr>
          </w:p>
        </w:tc>
      </w:tr>
      <w:tr>
        <w:trPr>
          <w:trHeight w:val="214"/>
        </w:trPr>
        <w:tc>
          <w:tcPr>
            <w:tcW w:w="2200" w:type="dxa"/>
            <w:vAlign w:val="bottom"/>
          </w:tcPr>
          <w:p>
            <w:pPr>
              <w:spacing w:after="0"/>
              <w:rPr>
                <w:sz w:val="18"/>
                <w:szCs w:val="18"/>
                <w:color w:val="auto"/>
              </w:rPr>
            </w:pPr>
          </w:p>
        </w:tc>
        <w:tc>
          <w:tcPr>
            <w:tcW w:w="50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Atlanta, Georgia 30319</w:t>
            </w:r>
          </w:p>
        </w:tc>
        <w:tc>
          <w:tcPr>
            <w:tcW w:w="1820" w:type="dxa"/>
            <w:vAlign w:val="bottom"/>
          </w:tcPr>
          <w:p>
            <w:pPr>
              <w:spacing w:after="0"/>
              <w:rPr>
                <w:sz w:val="18"/>
                <w:szCs w:val="18"/>
                <w:color w:val="auto"/>
              </w:rPr>
            </w:pPr>
          </w:p>
        </w:tc>
      </w:tr>
      <w:tr>
        <w:trPr>
          <w:trHeight w:val="190"/>
        </w:trPr>
        <w:tc>
          <w:tcPr>
            <w:tcW w:w="2200" w:type="dxa"/>
            <w:vAlign w:val="bottom"/>
          </w:tcPr>
          <w:p>
            <w:pPr>
              <w:spacing w:after="0"/>
              <w:rPr>
                <w:sz w:val="16"/>
                <w:szCs w:val="16"/>
                <w:color w:val="auto"/>
              </w:rPr>
            </w:pPr>
          </w:p>
        </w:tc>
        <w:tc>
          <w:tcPr>
            <w:tcW w:w="50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820" w:type="dxa"/>
            <w:vAlign w:val="bottom"/>
          </w:tcPr>
          <w:p>
            <w:pPr>
              <w:spacing w:after="0"/>
              <w:rPr>
                <w:sz w:val="16"/>
                <w:szCs w:val="16"/>
                <w:color w:val="auto"/>
              </w:rPr>
            </w:pPr>
          </w:p>
        </w:tc>
      </w:tr>
      <w:tr>
        <w:trPr>
          <w:trHeight w:val="363"/>
        </w:trPr>
        <w:tc>
          <w:tcPr>
            <w:tcW w:w="2200" w:type="dxa"/>
            <w:vAlign w:val="bottom"/>
          </w:tcPr>
          <w:p>
            <w:pPr>
              <w:spacing w:after="0"/>
              <w:rPr>
                <w:sz w:val="24"/>
                <w:szCs w:val="24"/>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(770) 829-3700</w:t>
            </w:r>
          </w:p>
        </w:tc>
        <w:tc>
          <w:tcPr>
            <w:tcW w:w="182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20" w:type="dxa"/>
            <w:vAlign w:val="bottom"/>
          </w:tcPr>
          <w:p>
            <w:pPr>
              <w:spacing w:after="0"/>
              <w:rPr>
                <w:sz w:val="16"/>
                <w:szCs w:val="16"/>
                <w:color w:val="auto"/>
              </w:rPr>
            </w:pPr>
          </w:p>
        </w:tc>
      </w:tr>
      <w:tr>
        <w:trPr>
          <w:trHeight w:val="363"/>
        </w:trPr>
        <w:tc>
          <w:tcPr>
            <w:tcW w:w="2200" w:type="dxa"/>
            <w:vAlign w:val="bottom"/>
          </w:tcPr>
          <w:p>
            <w:pPr>
              <w:spacing w:after="0"/>
              <w:rPr>
                <w:sz w:val="24"/>
                <w:szCs w:val="24"/>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82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820" w:type="dxa"/>
            <w:vAlign w:val="bottom"/>
          </w:tcPr>
          <w:p>
            <w:pPr>
              <w:spacing w:after="0"/>
              <w:rPr>
                <w:sz w:val="16"/>
                <w:szCs w:val="16"/>
                <w:color w:val="auto"/>
              </w:rPr>
            </w:pPr>
          </w:p>
        </w:tc>
      </w:tr>
    </w:tbl>
    <w:p>
      <w:pPr>
        <w:spacing w:after="0" w:line="140"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980" w:type="dxa"/>
            <w:vAlign w:val="bottom"/>
            <w:gridSpan w:val="2"/>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57"/>
        </w:trPr>
        <w:tc>
          <w:tcPr>
            <w:tcW w:w="326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7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2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7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BZH</w:t>
            </w:r>
          </w:p>
        </w:tc>
        <w:tc>
          <w:tcPr>
            <w:tcW w:w="42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8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1273175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2026 Annual Meeting of Stockholders of Beazer Homes USA, Inc. (the "Company") held on February 5, 2026, the stockholders approved an amendment of the Company’s Amended and Restated Certificate of Incorporation for the purpose of extending the protective provisions contained in our charter that expired in November 2025 (the "Protective Amendment Extension"). The Protective Amendment Extension is designed to assist in protecting the value of our net tax deferred assets, including NOLs and Energy-Efficiency Tax Credits, by limiting and/or prohibiting transfers of our stock that could affect the percentage of stock that is treated as being owned by a holder of 4.95% of the Company's shares.</w:t>
      </w:r>
    </w:p>
    <w:p>
      <w:pPr>
        <w:spacing w:after="0" w:line="21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February 5, 2026, the Company filed with the Delaware Secretary of State a Certificate of Amendment to its Amended and Restated Certificate of Incorporation to effect the Protective Amendment Extension. The Protective Amendment Extension will become effective on February 6, 2026.</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A copy of the Certificate of Amendment, dated February 5, 2026, is attached hereto as </w:t>
      </w:r>
      <w:r>
        <w:rPr>
          <w:rFonts w:ascii="Times New Roman" w:cs="Times New Roman" w:eastAsia="Times New Roman" w:hAnsi="Times New Roman"/>
          <w:sz w:val="18"/>
          <w:szCs w:val="18"/>
          <w:u w:val="single" w:color="auto"/>
          <w:color w:val="0000FF"/>
        </w:rPr>
        <w:t>Exhibit 3.1.</w:t>
      </w:r>
      <w:r>
        <w:rPr>
          <w:rFonts w:ascii="Times New Roman" w:cs="Times New Roman" w:eastAsia="Times New Roman" w:hAnsi="Times New Roman"/>
          <w:sz w:val="18"/>
          <w:szCs w:val="18"/>
          <w:color w:val="auto"/>
        </w:rPr>
        <w:t xml:space="preserve"> The foregoing summary of the Certificate of Amendment does not purport to be complete and is qualified in its entirety by reference to the Certificate of Amendment, which is incorporated herein by reference.</w:t>
      </w:r>
    </w:p>
    <w:p>
      <w:pPr>
        <w:spacing w:after="0" w:line="158"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5, 2026, the Company held its 2026 Annual Meeting of Stockholders. A total of 25,342,067 shares were represented in person or by valid proxy at the annual meeting and the Company’s stockholders took the following actions:</w:t>
      </w:r>
    </w:p>
    <w:p>
      <w:pPr>
        <w:spacing w:after="0" w:line="108" w:lineRule="exact"/>
        <w:rPr>
          <w:sz w:val="20"/>
          <w:szCs w:val="20"/>
          <w:color w:val="auto"/>
        </w:rPr>
      </w:pPr>
    </w:p>
    <w:p>
      <w:pPr>
        <w:ind w:right="220" w:firstLine="332"/>
        <w:spacing w:after="0" w:line="266" w:lineRule="auto"/>
        <w:tabs>
          <w:tab w:leader="none" w:pos="63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highlight w:val="white"/>
        </w:rPr>
        <w:t>. Stockholders elected Howard C. Heckes, Lloyd E. Johnson, John J. Kelley III, Allan P. Merrill, Peter M. Orser, Norma A.</w:t>
      </w:r>
      <w:r>
        <w:rPr>
          <w:rFonts w:ascii="Times New Roman" w:cs="Times New Roman" w:eastAsia="Times New Roman" w:hAnsi="Times New Roman"/>
          <w:sz w:val="18"/>
          <w:szCs w:val="18"/>
          <w:color w:val="auto"/>
        </w:rPr>
        <w:t xml:space="preserve"> Provencio, June Sauvaget, Alyssa P. Steele and C. Christian Winkle to serve as directors until the 2027 Annual Meeting of Stockholders or until their successors are elected and qualified. The vote totals for each of these individuals were:</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For</w:t>
            </w:r>
          </w:p>
        </w:tc>
        <w:tc>
          <w:tcPr>
            <w:tcW w:w="17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 Against</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Abstained</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Broker Non-Votes</w:t>
            </w:r>
          </w:p>
        </w:tc>
      </w:tr>
      <w:tr>
        <w:trPr>
          <w:trHeight w:val="221"/>
        </w:trPr>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Howard C. Heckes</w:t>
            </w:r>
          </w:p>
        </w:tc>
        <w:tc>
          <w:tcPr>
            <w:tcW w:w="10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21,133,666</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883,074</w:t>
            </w:r>
          </w:p>
        </w:tc>
        <w:tc>
          <w:tcPr>
            <w:tcW w:w="120" w:type="dxa"/>
            <w:vAlign w:val="bottom"/>
          </w:tcPr>
          <w:p>
            <w:pPr>
              <w:spacing w:after="0"/>
              <w:rPr>
                <w:sz w:val="19"/>
                <w:szCs w:val="19"/>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14,742</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3,310,585</w:t>
            </w:r>
          </w:p>
        </w:tc>
      </w:tr>
      <w:tr>
        <w:trPr>
          <w:trHeight w:val="23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Lloyd E. Johnson</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21,076,202</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939,438</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15,842</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3,310,585</w:t>
            </w:r>
          </w:p>
        </w:tc>
      </w:tr>
      <w:tr>
        <w:trPr>
          <w:trHeight w:val="229"/>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J. Kelley III</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21,136,805</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879,118</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15,559</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3,310,585</w:t>
            </w:r>
          </w:p>
        </w:tc>
      </w:tr>
      <w:tr>
        <w:trPr>
          <w:trHeight w:val="23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Allan P. Merrill</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20,925,327</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1,088,523</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17,632</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3,310,585</w:t>
            </w:r>
          </w:p>
        </w:tc>
      </w:tr>
      <w:tr>
        <w:trPr>
          <w:trHeight w:val="23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M. Orser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20,855,239</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1,160,401</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15,842</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3,310,585</w:t>
            </w:r>
          </w:p>
        </w:tc>
      </w:tr>
      <w:tr>
        <w:trPr>
          <w:trHeight w:val="23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Norma A. Provencio</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20,747,333</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1,261,690</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22,459</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3,310,585</w:t>
            </w:r>
          </w:p>
        </w:tc>
      </w:tr>
      <w:tr>
        <w:trPr>
          <w:trHeight w:val="229"/>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Sauvaget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21,125,416</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889,911</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16,155</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3,310,585</w:t>
            </w:r>
          </w:p>
        </w:tc>
      </w:tr>
      <w:tr>
        <w:trPr>
          <w:trHeight w:val="23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Alyssa P. Steele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21,131,177</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883,708</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16,597</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3,310,585</w:t>
            </w:r>
          </w:p>
        </w:tc>
      </w:tr>
      <w:tr>
        <w:trPr>
          <w:trHeight w:val="234"/>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 Christian Winkle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20,986,049</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1,029,685</w:t>
            </w:r>
          </w:p>
        </w:tc>
        <w:tc>
          <w:tcPr>
            <w:tcW w:w="1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15,748</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3,310,585</w:t>
            </w:r>
          </w:p>
        </w:tc>
      </w:tr>
    </w:tbl>
    <w:p>
      <w:pPr>
        <w:spacing w:after="0" w:line="333" w:lineRule="exact"/>
        <w:rPr>
          <w:sz w:val="20"/>
          <w:szCs w:val="20"/>
          <w:color w:val="auto"/>
        </w:rPr>
      </w:pPr>
    </w:p>
    <w:p>
      <w:pPr>
        <w:ind w:right="240" w:firstLine="332"/>
        <w:spacing w:after="0" w:line="266" w:lineRule="auto"/>
        <w:tabs>
          <w:tab w:leader="none" w:pos="63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Vote on Compensation of Named Executive Officers</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Stockholders approved the compensation paid to the Company’s named executive officers for the fiscal year ending September 30, 2025. The vote totals were: 19,205,515 shares for, 2,789.842 shares against, 36,025 share abstentions and 3,310,585 broker non-votes.</w:t>
      </w:r>
    </w:p>
    <w:p>
      <w:pPr>
        <w:spacing w:after="0" w:line="202" w:lineRule="exact"/>
        <w:rPr>
          <w:rFonts w:ascii="Times New Roman" w:cs="Times New Roman" w:eastAsia="Times New Roman" w:hAnsi="Times New Roman"/>
          <w:sz w:val="18"/>
          <w:szCs w:val="18"/>
          <w:color w:val="auto"/>
        </w:rPr>
      </w:pPr>
    </w:p>
    <w:p>
      <w:pPr>
        <w:jc w:val="both"/>
        <w:ind w:right="160" w:firstLine="332"/>
        <w:spacing w:after="0" w:line="266" w:lineRule="auto"/>
        <w:tabs>
          <w:tab w:leader="none" w:pos="63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Independent Accountants</w:t>
      </w:r>
      <w:r>
        <w:rPr>
          <w:rFonts w:ascii="Times New Roman" w:cs="Times New Roman" w:eastAsia="Times New Roman" w:hAnsi="Times New Roman"/>
          <w:sz w:val="18"/>
          <w:szCs w:val="18"/>
          <w:color w:val="auto"/>
        </w:rPr>
        <w:t>. Stockholders ratified the selection of Deloitte &amp; Touche LLP as the Company’s independent registered public accounting firm for the fiscal year ending September 30, 2026. The vote totals were: 25,131,186 shares for, 206,373 shares against and 4,508 share abstentions.</w:t>
      </w:r>
    </w:p>
    <w:p>
      <w:pPr>
        <w:spacing w:after="0" w:line="202" w:lineRule="exact"/>
        <w:rPr>
          <w:rFonts w:ascii="Times New Roman" w:cs="Times New Roman" w:eastAsia="Times New Roman" w:hAnsi="Times New Roman"/>
          <w:sz w:val="18"/>
          <w:szCs w:val="18"/>
          <w:color w:val="auto"/>
        </w:rPr>
      </w:pPr>
    </w:p>
    <w:p>
      <w:pPr>
        <w:jc w:val="both"/>
        <w:ind w:right="300" w:firstLine="332"/>
        <w:spacing w:after="0" w:line="312" w:lineRule="auto"/>
        <w:tabs>
          <w:tab w:leader="none" w:pos="63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Adoption of the Charter Amendment</w:t>
      </w: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color w:val="auto"/>
        </w:rPr>
        <w:t xml:space="preserve"> Stockholders approved the adoption of the Charter Amendment for the Protection of NOLs and Energy-Efficiency Tax Credits. The vote totals were: 18,335,332 shares for, 3,658,294 shares against, 37,856 share abstentions and 3,310,585 broker non-votes.</w:t>
      </w:r>
    </w:p>
    <w:p>
      <w:pPr>
        <w:spacing w:after="0" w:line="166" w:lineRule="exact"/>
        <w:rPr>
          <w:rFonts w:ascii="Times New Roman" w:cs="Times New Roman" w:eastAsia="Times New Roman" w:hAnsi="Times New Roman"/>
          <w:sz w:val="17"/>
          <w:szCs w:val="17"/>
          <w:color w:val="auto"/>
        </w:rPr>
      </w:pPr>
    </w:p>
    <w:p>
      <w:pPr>
        <w:ind w:right="60" w:firstLine="332"/>
        <w:spacing w:after="0" w:line="282" w:lineRule="auto"/>
        <w:tabs>
          <w:tab w:leader="none" w:pos="63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Rights Agreement</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Stockholders ratified the Rights Agreement for the Protection of NOLs and Energy-Efficiency Tax Credits. The vote totals were: 17,328,702 shares for, 4,665,231 shares against, 37,549 share abstentions and 3,310,585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11"/>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140" w:type="dxa"/>
            <w:vAlign w:val="bottom"/>
          </w:tcPr>
          <w:p>
            <w:pPr>
              <w:spacing w:after="0"/>
              <w:rPr>
                <w:sz w:val="24"/>
                <w:szCs w:val="24"/>
                <w:color w:val="auto"/>
              </w:rPr>
            </w:pPr>
          </w:p>
        </w:tc>
      </w:tr>
      <w:tr>
        <w:trPr>
          <w:trHeight w:val="216"/>
        </w:trPr>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p>
        </w:tc>
        <w:tc>
          <w:tcPr>
            <w:tcW w:w="10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 of Amendment, dated February 5, 2026, to the Amended and Restated Certificate of Incorporation of Beazer Homes USA,</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1014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Inc.</w:t>
            </w:r>
          </w:p>
        </w:tc>
      </w:tr>
      <w:tr>
        <w:trPr>
          <w:trHeight w:val="234"/>
        </w:trPr>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65"/>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40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BEAZER HOMES USA, Inc.</w:t>
            </w:r>
          </w:p>
        </w:tc>
        <w:tc>
          <w:tcPr>
            <w:tcW w:w="0" w:type="dxa"/>
            <w:vAlign w:val="bottom"/>
          </w:tcPr>
          <w:p>
            <w:pPr>
              <w:spacing w:after="0"/>
              <w:rPr>
                <w:sz w:val="1"/>
                <w:szCs w:val="1"/>
                <w:color w:val="auto"/>
              </w:rPr>
            </w:pPr>
          </w:p>
        </w:tc>
      </w:tr>
      <w:tr>
        <w:trPr>
          <w:trHeight w:val="500"/>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February 5, 2026</w:t>
            </w:r>
          </w:p>
        </w:tc>
        <w:tc>
          <w:tcPr>
            <w:tcW w:w="22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18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/s/ Michael A. Dunn</w:t>
            </w:r>
          </w:p>
        </w:tc>
        <w:tc>
          <w:tcPr>
            <w:tcW w:w="0" w:type="dxa"/>
            <w:vAlign w:val="bottom"/>
          </w:tcPr>
          <w:p>
            <w:pPr>
              <w:spacing w:after="0"/>
              <w:rPr>
                <w:sz w:val="1"/>
                <w:szCs w:val="1"/>
                <w:color w:val="auto"/>
              </w:rPr>
            </w:pPr>
          </w:p>
        </w:tc>
      </w:tr>
      <w:tr>
        <w:trPr>
          <w:trHeight w:val="94"/>
        </w:trPr>
        <w:tc>
          <w:tcPr>
            <w:tcW w:w="3500" w:type="dxa"/>
            <w:vAlign w:val="bottom"/>
            <w:vMerge w:val="continue"/>
          </w:tcPr>
          <w:p>
            <w:pPr>
              <w:spacing w:after="0"/>
              <w:rPr>
                <w:sz w:val="8"/>
                <w:szCs w:val="8"/>
                <w:color w:val="auto"/>
              </w:rPr>
            </w:pPr>
          </w:p>
        </w:tc>
        <w:tc>
          <w:tcPr>
            <w:tcW w:w="22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0</wp:posOffset>
            </wp:positionV>
            <wp:extent cx="3472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ind w:left="6120"/>
        <w:spacing w:after="0"/>
        <w:rPr>
          <w:sz w:val="20"/>
          <w:szCs w:val="20"/>
          <w:color w:val="auto"/>
        </w:rPr>
      </w:pPr>
      <w:r>
        <w:rPr>
          <w:rFonts w:ascii="Times New Roman" w:cs="Times New Roman" w:eastAsia="Times New Roman" w:hAnsi="Times New Roman"/>
          <w:sz w:val="18"/>
          <w:szCs w:val="18"/>
          <w:color w:val="auto"/>
        </w:rPr>
        <w:t>Michael A. Dunn</w:t>
      </w:r>
    </w:p>
    <w:p>
      <w:pPr>
        <w:ind w:left="6120"/>
        <w:spacing w:after="0" w:line="205" w:lineRule="auto"/>
        <w:rPr>
          <w:sz w:val="20"/>
          <w:szCs w:val="20"/>
          <w:color w:val="auto"/>
        </w:rPr>
      </w:pPr>
      <w:r>
        <w:rPr>
          <w:rFonts w:ascii="Times New Roman" w:cs="Times New Roman" w:eastAsia="Times New Roman" w:hAnsi="Times New Roman"/>
          <w:sz w:val="18"/>
          <w:szCs w:val="18"/>
          <w:color w:val="auto"/>
        </w:rPr>
        <w:t>Senior Vice President, General Counsel</w:t>
      </w:r>
    </w:p>
    <w:p>
      <w:pPr>
        <w:spacing w:after="0" w:line="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and Corporate Secretary</w:t>
      </w:r>
    </w:p>
    <w:p>
      <w:pPr>
        <w:sectPr>
          <w:pgSz w:w="11900" w:h="16838" w:orient="portrait"/>
          <w:cols w:equalWidth="0" w:num="1">
            <w:col w:w="11200"/>
          </w:cols>
          <w:pgMar w:left="320" w:top="891"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 OF AMENDMENT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THE</w:t>
      </w:r>
    </w:p>
    <w:p>
      <w:pPr>
        <w:jc w:val="center"/>
        <w:spacing w:after="0" w:line="225" w:lineRule="auto"/>
        <w:rPr>
          <w:sz w:val="20"/>
          <w:szCs w:val="20"/>
          <w:color w:val="auto"/>
        </w:rPr>
      </w:pPr>
      <w:r>
        <w:rPr>
          <w:rFonts w:ascii="Arial" w:cs="Arial" w:eastAsia="Arial" w:hAnsi="Arial"/>
          <w:sz w:val="20"/>
          <w:szCs w:val="20"/>
          <w:b w:val="1"/>
          <w:bCs w:val="1"/>
          <w:color w:val="auto"/>
        </w:rPr>
        <w:t>AMENDED AND RESTATED CERTIFICATE OF INCORPORATION</w:t>
      </w:r>
    </w:p>
    <w:p>
      <w:pPr>
        <w:jc w:val="center"/>
        <w:spacing w:after="0"/>
        <w:rPr>
          <w:sz w:val="20"/>
          <w:szCs w:val="20"/>
          <w:color w:val="auto"/>
        </w:rPr>
      </w:pPr>
      <w:r>
        <w:rPr>
          <w:rFonts w:ascii="Arial" w:cs="Arial" w:eastAsia="Arial" w:hAnsi="Arial"/>
          <w:sz w:val="20"/>
          <w:szCs w:val="20"/>
          <w:b w:val="1"/>
          <w:bCs w:val="1"/>
          <w:color w:val="auto"/>
        </w:rPr>
        <w:t>OF</w:t>
      </w:r>
    </w:p>
    <w:p>
      <w:pPr>
        <w:jc w:val="center"/>
        <w:spacing w:after="0"/>
        <w:rPr>
          <w:sz w:val="20"/>
          <w:szCs w:val="20"/>
          <w:color w:val="auto"/>
        </w:rPr>
      </w:pPr>
      <w:r>
        <w:rPr>
          <w:rFonts w:ascii="Arial" w:cs="Arial" w:eastAsia="Arial" w:hAnsi="Arial"/>
          <w:sz w:val="20"/>
          <w:szCs w:val="20"/>
          <w:b w:val="1"/>
          <w:bCs w:val="1"/>
          <w:color w:val="auto"/>
        </w:rPr>
        <w:t>BEAZER HOMES USA, INC.</w:t>
      </w:r>
    </w:p>
    <w:p>
      <w:pPr>
        <w:spacing w:after="0" w:line="252" w:lineRule="exact"/>
        <w:rPr>
          <w:sz w:val="20"/>
          <w:szCs w:val="20"/>
          <w:color w:val="auto"/>
        </w:rPr>
      </w:pPr>
    </w:p>
    <w:p>
      <w:pPr>
        <w:ind w:right="220" w:firstLine="648"/>
        <w:spacing w:after="0" w:line="269" w:lineRule="auto"/>
        <w:rPr>
          <w:sz w:val="20"/>
          <w:szCs w:val="20"/>
          <w:color w:val="auto"/>
        </w:rPr>
      </w:pPr>
      <w:r>
        <w:rPr>
          <w:rFonts w:ascii="Arial" w:cs="Arial" w:eastAsia="Arial" w:hAnsi="Arial"/>
          <w:sz w:val="20"/>
          <w:szCs w:val="20"/>
          <w:color w:val="auto"/>
        </w:rPr>
        <w:t>Beazer Homes USA, Inc., a corporation organized and existing under the laws of the State of Delaware (the “Corporation”), pursuant to the General Corporation Law of the State of Delaware (the “DGCL”), DOES HEREBY CERTIFY as follows:</w:t>
      </w:r>
    </w:p>
    <w:p>
      <w:pPr>
        <w:spacing w:after="0" w:line="185" w:lineRule="exact"/>
        <w:rPr>
          <w:sz w:val="20"/>
          <w:szCs w:val="20"/>
          <w:color w:val="auto"/>
        </w:rPr>
      </w:pPr>
    </w:p>
    <w:p>
      <w:pPr>
        <w:ind w:right="120" w:hanging="10"/>
        <w:spacing w:after="0" w:line="262" w:lineRule="auto"/>
        <w:rPr>
          <w:sz w:val="20"/>
          <w:szCs w:val="20"/>
          <w:color w:val="auto"/>
        </w:rPr>
      </w:pPr>
      <w:r>
        <w:rPr>
          <w:rFonts w:ascii="Arial" w:cs="Arial" w:eastAsia="Arial" w:hAnsi="Arial"/>
          <w:sz w:val="20"/>
          <w:szCs w:val="20"/>
          <w:color w:val="auto"/>
        </w:rPr>
        <w:t>Article EIGHT of the Amended and Restated Certificate of Incorporation of the Corporation, as amended (the “Amended and Restated Certificate of Incorporation”), is hereby amended by replacing paragraph (i) of the existing Article EIGHT in its entirety with the following:</w:t>
      </w:r>
    </w:p>
    <w:p>
      <w:pPr>
        <w:spacing w:after="0" w:line="192" w:lineRule="exact"/>
        <w:rPr>
          <w:sz w:val="20"/>
          <w:szCs w:val="20"/>
          <w:color w:val="auto"/>
        </w:rPr>
      </w:pPr>
    </w:p>
    <w:p>
      <w:pPr>
        <w:ind w:left="340" w:right="120"/>
        <w:spacing w:after="0" w:line="264" w:lineRule="auto"/>
        <w:rPr>
          <w:sz w:val="20"/>
          <w:szCs w:val="20"/>
          <w:color w:val="auto"/>
        </w:rPr>
      </w:pPr>
      <w:r>
        <w:rPr>
          <w:rFonts w:ascii="Arial" w:cs="Arial" w:eastAsia="Arial" w:hAnsi="Arial"/>
          <w:sz w:val="19"/>
          <w:szCs w:val="19"/>
          <w:color w:val="auto"/>
        </w:rPr>
        <w:t>“Expiration Date” means the earliest of (1) the repeal of Section 382 or Section 383 of the Code or any successor statutes if the Board of Directors determines that this Article EIGHT is no longer necessary or desirable for the preservation of Tax Benefits, (2) the close of business on the first day of a taxable year of the Corporation as to which the Board of Directors determines that no Tax Benefits may be carried forward subject to potential limitation pursuant to Section 383 of the Code,</w:t>
      </w:r>
    </w:p>
    <w:p>
      <w:pPr>
        <w:spacing w:after="0" w:line="2" w:lineRule="exact"/>
        <w:rPr>
          <w:sz w:val="20"/>
          <w:szCs w:val="20"/>
          <w:color w:val="auto"/>
        </w:rPr>
      </w:pPr>
    </w:p>
    <w:p>
      <w:pPr>
        <w:ind w:left="340" w:right="560" w:hanging="8"/>
        <w:spacing w:after="0" w:line="267" w:lineRule="auto"/>
        <w:tabs>
          <w:tab w:leader="none" w:pos="637" w:val="left"/>
        </w:tabs>
        <w:numPr>
          <w:ilvl w:val="0"/>
          <w:numId w:val="4"/>
        </w:numPr>
        <w:rPr>
          <w:rFonts w:ascii="Arial" w:cs="Arial" w:eastAsia="Arial" w:hAnsi="Arial"/>
          <w:sz w:val="20"/>
          <w:szCs w:val="20"/>
          <w:color w:val="auto"/>
        </w:rPr>
      </w:pPr>
      <w:r>
        <w:rPr>
          <w:rFonts w:ascii="Arial" w:cs="Arial" w:eastAsia="Arial" w:hAnsi="Arial"/>
          <w:sz w:val="20"/>
          <w:szCs w:val="20"/>
          <w:color w:val="auto"/>
        </w:rPr>
        <w:t>such date as the Board of Directors shall fix in accordance with Part XII of this Article EIGHT and (4) November 12, 2028.”</w:t>
      </w:r>
    </w:p>
    <w:p>
      <w:pPr>
        <w:spacing w:after="0" w:line="186" w:lineRule="exact"/>
        <w:rPr>
          <w:sz w:val="20"/>
          <w:szCs w:val="20"/>
          <w:color w:val="auto"/>
        </w:rPr>
      </w:pPr>
    </w:p>
    <w:p>
      <w:pPr>
        <w:ind w:right="60" w:hanging="10"/>
        <w:spacing w:after="0" w:line="254" w:lineRule="auto"/>
        <w:rPr>
          <w:sz w:val="20"/>
          <w:szCs w:val="20"/>
          <w:color w:val="auto"/>
        </w:rPr>
      </w:pPr>
      <w:r>
        <w:rPr>
          <w:rFonts w:ascii="Arial" w:cs="Arial" w:eastAsia="Arial" w:hAnsi="Arial"/>
          <w:sz w:val="20"/>
          <w:szCs w:val="20"/>
          <w:color w:val="auto"/>
        </w:rPr>
        <w:t>In accordance with the provisions of Section 242 of the DGCL, the Board of Directors of the Corporation duly adopted the above amendment to the Amended and Restated Certificate of Incorporation (the “Amendment”), deemed the Amendment advisable and directed that the Amendment be considered by the Corporation’s stockholders. Notice of the Amendment was duly given to the stockholders of the Corporation in accordance with Section 222 of the DGCL. The Amendment was adopted by the Corporation’s stockholders on February 5, 2026 in accordance with Section 242 of the DGCL.</w:t>
      </w:r>
    </w:p>
    <w:p>
      <w:pPr>
        <w:spacing w:after="0" w:line="201" w:lineRule="exact"/>
        <w:rPr>
          <w:sz w:val="20"/>
          <w:szCs w:val="20"/>
          <w:color w:val="auto"/>
        </w:rPr>
      </w:pPr>
    </w:p>
    <w:p>
      <w:pPr>
        <w:ind w:right="280" w:hanging="10"/>
        <w:spacing w:after="0" w:line="271" w:lineRule="auto"/>
        <w:rPr>
          <w:sz w:val="20"/>
          <w:szCs w:val="20"/>
          <w:color w:val="auto"/>
        </w:rPr>
      </w:pPr>
      <w:r>
        <w:rPr>
          <w:rFonts w:ascii="Arial" w:cs="Arial" w:eastAsia="Arial" w:hAnsi="Arial"/>
          <w:sz w:val="20"/>
          <w:szCs w:val="20"/>
          <w:color w:val="auto"/>
        </w:rPr>
        <w:t>Pursuant to Sections 103 and 242 of the DGCL, the Amendment shall become effective at 12:00 a.m., New York City time, on Friday, February 6, 2026.</w:t>
      </w:r>
    </w:p>
    <w:p>
      <w:pPr>
        <w:spacing w:after="0" w:line="183" w:lineRule="exact"/>
        <w:rPr>
          <w:sz w:val="20"/>
          <w:szCs w:val="20"/>
          <w:color w:val="auto"/>
        </w:rPr>
      </w:pPr>
    </w:p>
    <w:p>
      <w:pPr>
        <w:ind w:right="1100" w:firstLine="648"/>
        <w:spacing w:after="0" w:line="286" w:lineRule="auto"/>
        <w:rPr>
          <w:sz w:val="20"/>
          <w:szCs w:val="20"/>
          <w:color w:val="auto"/>
        </w:rPr>
      </w:pPr>
      <w:r>
        <w:rPr>
          <w:rFonts w:ascii="Arial" w:cs="Arial" w:eastAsia="Arial" w:hAnsi="Arial"/>
          <w:sz w:val="20"/>
          <w:szCs w:val="20"/>
          <w:color w:val="auto"/>
        </w:rPr>
        <w:t>IN WITNESS WHEREOF, the Corporation has caused its duly authorized officer to execute this Certificate of Amendment on this 5th day of February, 2026.</w:t>
      </w:r>
    </w:p>
    <w:p>
      <w:pPr>
        <w:spacing w:after="0" w:line="219"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auto"/>
        </w:rPr>
        <w:t>Beazer Homes USA, Inc.</w:t>
      </w:r>
    </w:p>
    <w:p>
      <w:pPr>
        <w:spacing w:after="0" w:line="353"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By: /s/ DAVID I.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-11430</wp:posOffset>
            </wp:positionV>
            <wp:extent cx="1812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2925" cy="8255"/>
                    </a:xfrm>
                    <a:prstGeom prst="rect">
                      <a:avLst/>
                    </a:prstGeom>
                    <a:noFill/>
                  </pic:spPr>
                </pic:pic>
              </a:graphicData>
            </a:graphic>
          </wp:anchor>
        </w:drawing>
      </w:r>
    </w:p>
    <w:p>
      <w:pPr>
        <w:ind w:left="5300"/>
        <w:spacing w:after="0"/>
        <w:rPr>
          <w:sz w:val="20"/>
          <w:szCs w:val="20"/>
          <w:color w:val="auto"/>
        </w:rPr>
      </w:pPr>
      <w:r>
        <w:rPr>
          <w:rFonts w:ascii="Arial" w:cs="Arial" w:eastAsia="Arial" w:hAnsi="Arial"/>
          <w:sz w:val="20"/>
          <w:szCs w:val="20"/>
          <w:color w:val="auto"/>
        </w:rPr>
        <w:t>Name: David I. Goldberg</w:t>
      </w:r>
    </w:p>
    <w:p>
      <w:pPr>
        <w:ind w:left="5300"/>
        <w:spacing w:after="0" w:line="225" w:lineRule="auto"/>
        <w:rPr>
          <w:sz w:val="20"/>
          <w:szCs w:val="20"/>
          <w:color w:val="auto"/>
        </w:rPr>
      </w:pPr>
      <w:r>
        <w:rPr>
          <w:rFonts w:ascii="Arial" w:cs="Arial" w:eastAsia="Arial" w:hAnsi="Arial"/>
          <w:sz w:val="20"/>
          <w:szCs w:val="20"/>
          <w:color w:val="auto"/>
        </w:rPr>
        <w:t>Title: Senior Vice President, Chief Financial Officer</w:t>
      </w:r>
    </w:p>
    <w:p>
      <w:pPr>
        <w:ind w:left="5300"/>
        <w:spacing w:after="0"/>
        <w:rPr>
          <w:sz w:val="20"/>
          <w:szCs w:val="20"/>
          <w:color w:val="auto"/>
        </w:rPr>
      </w:pPr>
      <w:r>
        <w:rPr>
          <w:rFonts w:ascii="Arial" w:cs="Arial" w:eastAsia="Arial" w:hAnsi="Arial"/>
          <w:sz w:val="20"/>
          <w:szCs w:val="20"/>
          <w:color w:val="auto"/>
        </w:rPr>
        <w:t>and Treasurer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/s/ MICHAEL A.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6960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608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Michael A. Dunn</w:t>
      </w:r>
    </w:p>
    <w:p>
      <w:pPr>
        <w:spacing w:after="0"/>
        <w:rPr>
          <w:sz w:val="20"/>
          <w:szCs w:val="20"/>
          <w:color w:val="auto"/>
        </w:rPr>
      </w:pPr>
      <w:r>
        <w:rPr>
          <w:rFonts w:ascii="Arial" w:cs="Arial" w:eastAsia="Arial" w:hAnsi="Arial"/>
          <w:sz w:val="20"/>
          <w:szCs w:val="20"/>
          <w:color w:val="auto"/>
        </w:rPr>
        <w:t>Title: Senior Vice President, General Counsel</w:t>
      </w:r>
    </w:p>
    <w:p>
      <w:pPr>
        <w:ind w:left="420"/>
        <w:spacing w:after="0"/>
        <w:rPr>
          <w:sz w:val="20"/>
          <w:szCs w:val="20"/>
          <w:color w:val="auto"/>
        </w:rPr>
      </w:pPr>
      <w:r>
        <w:rPr>
          <w:rFonts w:ascii="Arial" w:cs="Arial" w:eastAsia="Arial" w:hAnsi="Arial"/>
          <w:sz w:val="20"/>
          <w:szCs w:val="20"/>
          <w:color w:val="auto"/>
        </w:rPr>
        <w:t>and Corporate Secretary</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2026-02-05T16:46:29Z</dcterms:created>
  <dcterms:modified xsi:type="dcterms:W3CDTF">2026-02-05T16:46:29Z</dcterms:modified>
</cp:coreProperties>
</file>