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0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reported event): March 13, 2026</w:t>
      </w: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BEAZER HOMES USA,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9" w:lineRule="exact"/>
        <w:rPr>
          <w:sz w:val="24"/>
          <w:szCs w:val="24"/>
          <w:color w:val="auto"/>
        </w:rPr>
      </w:pPr>
    </w:p>
    <w:tbl>
      <w:tblPr>
        <w:tblLayout w:type="fixed"/>
        <w:tblInd w:w="940" w:type="dxa"/>
        <w:tblCellMar>
          <w:top w:w="0" w:type="dxa"/>
          <w:left w:w="0" w:type="dxa"/>
          <w:bottom w:w="0" w:type="dxa"/>
          <w:right w:w="0" w:type="dxa"/>
        </w:tblCellMar>
      </w:tblPr>
      <w:tr>
        <w:trPr>
          <w:trHeight w:val="227"/>
        </w:trPr>
        <w:tc>
          <w:tcPr>
            <w:tcW w:w="2200" w:type="dxa"/>
            <w:vAlign w:val="bottom"/>
          </w:tcPr>
          <w:p>
            <w:pPr>
              <w:jc w:val="center"/>
              <w:ind w:right="4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001-12822</w:t>
            </w:r>
          </w:p>
        </w:tc>
        <w:tc>
          <w:tcPr>
            <w:tcW w:w="1820" w:type="dxa"/>
            <w:vAlign w:val="bottom"/>
          </w:tcPr>
          <w:p>
            <w:pPr>
              <w:jc w:val="center"/>
              <w:ind w:left="622"/>
              <w:spacing w:after="0"/>
              <w:rPr>
                <w:sz w:val="20"/>
                <w:szCs w:val="20"/>
                <w:color w:val="auto"/>
              </w:rPr>
            </w:pPr>
            <w:r>
              <w:rPr>
                <w:rFonts w:ascii="Times New Roman" w:cs="Times New Roman" w:eastAsia="Times New Roman" w:hAnsi="Times New Roman"/>
                <w:sz w:val="18"/>
                <w:szCs w:val="18"/>
                <w:b w:val="1"/>
                <w:bCs w:val="1"/>
                <w:color w:val="auto"/>
              </w:rPr>
              <w:t>58-2086934</w:t>
            </w:r>
          </w:p>
        </w:tc>
      </w:tr>
      <w:tr>
        <w:trPr>
          <w:trHeight w:val="148"/>
        </w:trPr>
        <w:tc>
          <w:tcPr>
            <w:tcW w:w="2200" w:type="dxa"/>
            <w:vAlign w:val="bottom"/>
          </w:tcPr>
          <w:p>
            <w:pPr>
              <w:jc w:val="center"/>
              <w:ind w:right="4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820" w:type="dxa"/>
            <w:vAlign w:val="bottom"/>
          </w:tcPr>
          <w:p>
            <w:pPr>
              <w:jc w:val="center"/>
              <w:ind w:left="6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00" w:type="dxa"/>
            <w:vAlign w:val="bottom"/>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20" w:type="dxa"/>
            <w:vAlign w:val="bottom"/>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2200" w:type="dxa"/>
            <w:vAlign w:val="bottom"/>
          </w:tcPr>
          <w:p>
            <w:pPr>
              <w:spacing w:after="0"/>
              <w:rPr>
                <w:sz w:val="24"/>
                <w:szCs w:val="24"/>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2002 Summit Boulevard, 15th Floor</w:t>
            </w:r>
          </w:p>
        </w:tc>
        <w:tc>
          <w:tcPr>
            <w:tcW w:w="1820" w:type="dxa"/>
            <w:vAlign w:val="bottom"/>
          </w:tcPr>
          <w:p>
            <w:pPr>
              <w:spacing w:after="0"/>
              <w:rPr>
                <w:sz w:val="24"/>
                <w:szCs w:val="24"/>
                <w:color w:val="auto"/>
              </w:rPr>
            </w:pPr>
          </w:p>
        </w:tc>
      </w:tr>
      <w:tr>
        <w:trPr>
          <w:trHeight w:val="214"/>
        </w:trPr>
        <w:tc>
          <w:tcPr>
            <w:tcW w:w="2200" w:type="dxa"/>
            <w:vAlign w:val="bottom"/>
          </w:tcPr>
          <w:p>
            <w:pPr>
              <w:spacing w:after="0"/>
              <w:rPr>
                <w:sz w:val="18"/>
                <w:szCs w:val="18"/>
                <w:color w:val="auto"/>
              </w:rPr>
            </w:pPr>
          </w:p>
        </w:tc>
        <w:tc>
          <w:tcPr>
            <w:tcW w:w="50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Atlanta, Georgia 30319</w:t>
            </w:r>
          </w:p>
        </w:tc>
        <w:tc>
          <w:tcPr>
            <w:tcW w:w="1820" w:type="dxa"/>
            <w:vAlign w:val="bottom"/>
          </w:tcPr>
          <w:p>
            <w:pPr>
              <w:spacing w:after="0"/>
              <w:rPr>
                <w:sz w:val="18"/>
                <w:szCs w:val="18"/>
                <w:color w:val="auto"/>
              </w:rPr>
            </w:pPr>
          </w:p>
        </w:tc>
      </w:tr>
      <w:tr>
        <w:trPr>
          <w:trHeight w:val="190"/>
        </w:trPr>
        <w:tc>
          <w:tcPr>
            <w:tcW w:w="2200" w:type="dxa"/>
            <w:vAlign w:val="bottom"/>
          </w:tcPr>
          <w:p>
            <w:pPr>
              <w:spacing w:after="0"/>
              <w:rPr>
                <w:sz w:val="16"/>
                <w:szCs w:val="16"/>
                <w:color w:val="auto"/>
              </w:rPr>
            </w:pPr>
          </w:p>
        </w:tc>
        <w:tc>
          <w:tcPr>
            <w:tcW w:w="50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820" w:type="dxa"/>
            <w:vAlign w:val="bottom"/>
          </w:tcPr>
          <w:p>
            <w:pPr>
              <w:spacing w:after="0"/>
              <w:rPr>
                <w:sz w:val="16"/>
                <w:szCs w:val="16"/>
                <w:color w:val="auto"/>
              </w:rPr>
            </w:pPr>
          </w:p>
        </w:tc>
      </w:tr>
      <w:tr>
        <w:trPr>
          <w:trHeight w:val="363"/>
        </w:trPr>
        <w:tc>
          <w:tcPr>
            <w:tcW w:w="2200" w:type="dxa"/>
            <w:vAlign w:val="bottom"/>
          </w:tcPr>
          <w:p>
            <w:pPr>
              <w:spacing w:after="0"/>
              <w:rPr>
                <w:sz w:val="24"/>
                <w:szCs w:val="24"/>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(770) 829-3700</w:t>
            </w:r>
          </w:p>
        </w:tc>
        <w:tc>
          <w:tcPr>
            <w:tcW w:w="182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20" w:type="dxa"/>
            <w:vAlign w:val="bottom"/>
          </w:tcPr>
          <w:p>
            <w:pPr>
              <w:spacing w:after="0"/>
              <w:rPr>
                <w:sz w:val="16"/>
                <w:szCs w:val="16"/>
                <w:color w:val="auto"/>
              </w:rPr>
            </w:pPr>
          </w:p>
        </w:tc>
      </w:tr>
      <w:tr>
        <w:trPr>
          <w:trHeight w:val="363"/>
        </w:trPr>
        <w:tc>
          <w:tcPr>
            <w:tcW w:w="2200" w:type="dxa"/>
            <w:vAlign w:val="bottom"/>
          </w:tcPr>
          <w:p>
            <w:pPr>
              <w:spacing w:after="0"/>
              <w:rPr>
                <w:sz w:val="24"/>
                <w:szCs w:val="24"/>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82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820" w:type="dxa"/>
            <w:vAlign w:val="bottom"/>
          </w:tcPr>
          <w:p>
            <w:pPr>
              <w:spacing w:after="0"/>
              <w:rPr>
                <w:sz w:val="16"/>
                <w:szCs w:val="16"/>
                <w:color w:val="auto"/>
              </w:rPr>
            </w:pPr>
          </w:p>
        </w:tc>
      </w:tr>
    </w:tbl>
    <w:p>
      <w:pPr>
        <w:spacing w:after="0" w:line="140"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980" w:type="dxa"/>
            <w:vAlign w:val="bottom"/>
            <w:gridSpan w:val="2"/>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7"/>
        </w:trPr>
        <w:tc>
          <w:tcPr>
            <w:tcW w:w="32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7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2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7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BZH</w:t>
            </w:r>
          </w:p>
        </w:tc>
        <w:tc>
          <w:tcPr>
            <w:tcW w:w="42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8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1273175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16"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color w:val="auto"/>
        </w:rPr>
        <w:t>On March 13, 2026, Beazer Homes USA, Inc. (the “Company”) executed a third amendment (the “Amendment”) to the Credit Agreement, dated as of October 13, 2022, among the Company, the several lenders from time to time parties thereto and JPMorgan Chase Bank, N.A., as an issuing lender and administrative agent (as amended on and prior to March 13, 2026, the “Credit Agreement”). The Amendment, among other things, extends the termination date under the Credit Agreement from March 15, 2028 to March 13, 2030 and increases the aggregate commitment amount under the Credit Agreement to $</w:t>
      </w:r>
      <w:r>
        <w:rPr>
          <w:rFonts w:ascii="Times New Roman" w:cs="Times New Roman" w:eastAsia="Times New Roman" w:hAnsi="Times New Roman"/>
          <w:sz w:val="21"/>
          <w:szCs w:val="21"/>
          <w:color w:val="auto"/>
        </w:rPr>
        <w:t>525</w:t>
      </w:r>
      <w:r>
        <w:rPr>
          <w:rFonts w:ascii="Times New Roman" w:cs="Times New Roman" w:eastAsia="Times New Roman" w:hAnsi="Times New Roman"/>
          <w:sz w:val="18"/>
          <w:szCs w:val="18"/>
          <w:color w:val="auto"/>
        </w:rPr>
        <w:t xml:space="preserve"> million.</w:t>
      </w:r>
    </w:p>
    <w:p>
      <w:pPr>
        <w:spacing w:after="0" w:line="115"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the Amendment is qualified in its entirety to the full text of the Amendment filed herewith as </w:t>
      </w:r>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color w:val="auto"/>
        </w:rPr>
        <w:t xml:space="preserve"> and incorporated in this Item 1.01 by reference.</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above under Item 1.01 is hereby incorporated by reference into this Item 2.03.</w:t>
      </w:r>
    </w:p>
    <w:p>
      <w:pPr>
        <w:spacing w:after="0" w:line="289"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w:t>
      </w:r>
    </w:p>
    <w:p>
      <w:pPr>
        <w:spacing w:after="0" w:line="202"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On March 17, 2026, the Company issued a press release announcing the Amendment described in Item 1.01 above. A copy of the press release is attached as </w:t>
      </w:r>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color w:val="auto"/>
        </w:rPr>
        <w:t xml:space="preserve"> to this Current Report on Form 8-K and is incorporated herein by reference.</w:t>
      </w:r>
    </w:p>
    <w:p>
      <w:pPr>
        <w:spacing w:after="0" w:line="10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provided pursuant to this Item 7.01, including </w:t>
      </w:r>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color w:val="auto"/>
        </w:rPr>
        <w:t xml:space="preserve"> in Item 9.01, is "furnished" and shall not be deemed to be "filed" with the Securities and Exchange Commission or incorporated by reference in any filing under the Securities and Exchange Act of 1934, as amended, or the Securities Act of 1933, as amended, except as shall be expressly set forth by specific reference in any such filings.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11"/>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140" w:type="dxa"/>
            <w:vAlign w:val="bottom"/>
          </w:tcPr>
          <w:p>
            <w:pPr>
              <w:spacing w:after="0"/>
              <w:rPr>
                <w:sz w:val="24"/>
                <w:szCs w:val="24"/>
                <w:color w:val="auto"/>
              </w:rPr>
            </w:pPr>
          </w:p>
        </w:tc>
      </w:tr>
      <w:tr>
        <w:trPr>
          <w:trHeight w:val="216"/>
        </w:trPr>
        <w:tc>
          <w:tcPr>
            <w:tcW w:w="11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101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Third Amendment, dated as of March 13, 2026, to the Credit Agreement, dated as of October 13, 2022, among the Company, the</w:t>
            </w:r>
          </w:p>
        </w:tc>
      </w:tr>
      <w:tr>
        <w:trPr>
          <w:trHeight w:val="232"/>
        </w:trPr>
        <w:tc>
          <w:tcPr>
            <w:tcW w:w="2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10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several lenders from time to time parties thereto and JPMorgan Chase Bank, N.A., as an issuing lender and administrative agent (as</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amended, supplemented or otherwise modified from time to time).</w:t>
            </w: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Press Release dated March 17, 2026</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1"/>
                <w:szCs w:val="21"/>
                <w:color w:val="auto"/>
              </w:rPr>
            </w:pPr>
          </w:p>
        </w:tc>
        <w:tc>
          <w:tcPr>
            <w:tcW w:w="10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65"/>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49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BEAZER HOMES USA, Inc.</w:t>
            </w:r>
          </w:p>
        </w:tc>
        <w:tc>
          <w:tcPr>
            <w:tcW w:w="0" w:type="dxa"/>
            <w:vAlign w:val="bottom"/>
          </w:tcPr>
          <w:p>
            <w:pPr>
              <w:spacing w:after="0"/>
              <w:rPr>
                <w:sz w:val="1"/>
                <w:szCs w:val="1"/>
                <w:color w:val="auto"/>
              </w:rPr>
            </w:pPr>
          </w:p>
        </w:tc>
      </w:tr>
      <w:tr>
        <w:trPr>
          <w:trHeight w:val="50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March 17, 2026</w:t>
            </w:r>
          </w:p>
        </w:tc>
        <w:tc>
          <w:tcPr>
            <w:tcW w:w="29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19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/s/ David I. Goldberg</w:t>
            </w:r>
          </w:p>
        </w:tc>
        <w:tc>
          <w:tcPr>
            <w:tcW w:w="0" w:type="dxa"/>
            <w:vAlign w:val="bottom"/>
          </w:tcPr>
          <w:p>
            <w:pPr>
              <w:spacing w:after="0"/>
              <w:rPr>
                <w:sz w:val="1"/>
                <w:szCs w:val="1"/>
                <w:color w:val="auto"/>
              </w:rPr>
            </w:pPr>
          </w:p>
        </w:tc>
      </w:tr>
      <w:tr>
        <w:trPr>
          <w:trHeight w:val="94"/>
        </w:trPr>
        <w:tc>
          <w:tcPr>
            <w:tcW w:w="4060" w:type="dxa"/>
            <w:vAlign w:val="bottom"/>
            <w:vMerge w:val="continue"/>
          </w:tcPr>
          <w:p>
            <w:pPr>
              <w:spacing w:after="0"/>
              <w:rPr>
                <w:sz w:val="8"/>
                <w:szCs w:val="8"/>
                <w:color w:val="auto"/>
              </w:rPr>
            </w:pPr>
          </w:p>
        </w:tc>
        <w:tc>
          <w:tcPr>
            <w:tcW w:w="29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0</wp:posOffset>
            </wp:positionV>
            <wp:extent cx="25800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David I. Goldberg</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Senior Vice President, Chief Financial Officer and</w:t>
      </w:r>
    </w:p>
    <w:p>
      <w:pPr>
        <w:spacing w:after="0" w:line="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Treasurer</w:t>
      </w:r>
    </w:p>
    <w:p>
      <w:pPr>
        <w:sectPr>
          <w:pgSz w:w="11900" w:h="16838" w:orient="portrait"/>
          <w:cols w:equalWidth="0" w:num="1">
            <w:col w:w="11200"/>
          </w:cols>
          <w:pgMar w:left="320" w:top="89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THIRD AMENDMENT</w:t>
      </w:r>
    </w:p>
    <w:p>
      <w:pPr>
        <w:spacing w:after="0" w:line="10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This Third Amendment to the Existing Credit Agreement (as defined below), dated as of March 13, 2026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among BEAZER HOMES USA,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Guarantor (as defined in the Existing Credit Agreement), each Lender (as defined in the Existing Credit Agreement) under the Existing Credit Agreement, each Issuing Lender (as defined in the Existing Credit Agreement) under the Existing Credit Agreement, each New Lender (as defined below) and JPMORGAN CHASE BANK, N.A.,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32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WHEREAS, the Borrower, the Lenders, the Issuing Lenders and the Administrative Agent are parties to the Credit Agreement dated as of October 13, 2022 (as modified by that certain Commitment Increase Activation Notice, dated as of October 12, 2023, that certain Commitment Increase Activation Notice and New Lender Supplement, dated as of October 12, 2023, that certain First Amendment, dated as of March 15, 2024, that certain Commitment Increase Activation Notice, dated as of January 28, 2025, that certain Commitment Increase Activation Notice and New Lender Supplement, dated as of January 28, 2025, that certain L/C Commitment Increase Notice, dated as of August 18, 2025 and that certain Second Amendment, dated as of January 13, 2026, and as further amended, supplemented or otherwise modified from time to time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and as amended by this Amendment,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by and among the Borrower, the Lenders and Issuing Lenders party thereto from time to time and the Administrative Agent;</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WHEREAS, the Borrower has requested that the Existing Credit Agreement be amended as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to include, among other things, (x) an extension of the maturity of the Commitments (and any outstanding Revolving Loans made thereunder) under the Existing Credit Agreement until the date that is the fourth anniversary of the Third Amendment Effective Date (as defined below) (the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and (y) an increase in the aggregate principal amount of Commitments under the Existing Credit Agreement by $160,000,000 (the “</w:t>
      </w:r>
      <w:r>
        <w:rPr>
          <w:rFonts w:ascii="Times New Roman" w:cs="Times New Roman" w:eastAsia="Times New Roman" w:hAnsi="Times New Roman"/>
          <w:sz w:val="20"/>
          <w:szCs w:val="20"/>
          <w:u w:val="single" w:color="auto"/>
          <w:color w:val="auto"/>
        </w:rPr>
        <w:t>Third Amendment Commitment Increase</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WHEREAS, the Borrower, each Guarantor, each Lender party hereto (constituting all of the Lenders under the Existing Credit Agreement), each Issuing Lender party hereto (constituting all of the Issuing Lenders under the Existing Credit Agreement), each of Banco Santander, S.A., New York Branch and Third Coast Bank, a Texas state bank (collectively, the “</w:t>
      </w:r>
      <w:r>
        <w:rPr>
          <w:rFonts w:ascii="Times New Roman" w:cs="Times New Roman" w:eastAsia="Times New Roman" w:hAnsi="Times New Roman"/>
          <w:sz w:val="20"/>
          <w:szCs w:val="20"/>
          <w:u w:val="single" w:color="auto"/>
          <w:color w:val="auto"/>
        </w:rPr>
        <w:t>New Lenders</w:t>
      </w:r>
      <w:r>
        <w:rPr>
          <w:rFonts w:ascii="Times New Roman" w:cs="Times New Roman" w:eastAsia="Times New Roman" w:hAnsi="Times New Roman"/>
          <w:sz w:val="20"/>
          <w:szCs w:val="20"/>
          <w:color w:val="auto"/>
        </w:rPr>
        <w:t>”; and together with each Lender party hereto and Issuing Lender party hereto, the “</w:t>
      </w:r>
      <w:r>
        <w:rPr>
          <w:rFonts w:ascii="Times New Roman" w:cs="Times New Roman" w:eastAsia="Times New Roman" w:hAnsi="Times New Roman"/>
          <w:sz w:val="20"/>
          <w:szCs w:val="20"/>
          <w:u w:val="single" w:color="auto"/>
          <w:color w:val="auto"/>
        </w:rPr>
        <w:t>Third Amendment Lenders</w:t>
      </w:r>
      <w:r>
        <w:rPr>
          <w:rFonts w:ascii="Times New Roman" w:cs="Times New Roman" w:eastAsia="Times New Roman" w:hAnsi="Times New Roman"/>
          <w:sz w:val="20"/>
          <w:szCs w:val="20"/>
          <w:color w:val="auto"/>
        </w:rPr>
        <w:t>”) is willing, subject to the terms and conditions set forth herein and in the Credit Agreement, to effect the Third Amendment Commitment Increase and the Extension pursuant to and in accordance with Section 10.1 of the Existing Credit Agreement; and</w:t>
      </w:r>
    </w:p>
    <w:p>
      <w:pPr>
        <w:spacing w:after="0" w:line="17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 xml:space="preserve">WHEREAS, the Borrower, each Guarantor, each Third Amendment Lender and the Administrative Agent desire to effect the Amendments in accordance with Section 10.1 of the Existing Credit Agreement, on the terms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as further set forth below.</w:t>
      </w:r>
    </w:p>
    <w:p>
      <w:pPr>
        <w:spacing w:after="0" w:line="1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NOW, THEREFORE, in consideration of the premises contained herein, the parties hereto agree as follows: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Unless otherwise defined herein, capitalized terms are used herein as defined in the Credit Agreement.</w:t>
      </w:r>
    </w:p>
    <w:p>
      <w:pPr>
        <w:sectPr>
          <w:pgSz w:w="11900" w:h="16838" w:orient="portrait"/>
          <w:cols w:equalWidth="0" w:num="1">
            <w:col w:w="11240"/>
          </w:cols>
          <w:pgMar w:left="320" w:top="114" w:right="339" w:bottom="1440" w:gutter="0" w:footer="0" w:header="0"/>
        </w:sectPr>
      </w:pPr>
    </w:p>
    <w:bookmarkStart w:id="4" w:name="page5"/>
    <w:bookmarkEnd w:id="4"/>
    <w:p>
      <w:pPr>
        <w:spacing w:after="0" w:line="1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u w:val="single" w:color="auto"/>
          <w:color w:val="auto"/>
        </w:rPr>
        <w:t>Third Amendment Commitment Increase; Assignment and Reallocation.</w:t>
      </w:r>
    </w:p>
    <w:p>
      <w:pPr>
        <w:spacing w:after="0" w:line="216" w:lineRule="exact"/>
        <w:rPr>
          <w:sz w:val="20"/>
          <w:szCs w:val="20"/>
          <w:color w:val="auto"/>
        </w:rPr>
      </w:pPr>
    </w:p>
    <w:p>
      <w:pPr>
        <w:jc w:val="both"/>
        <w:ind w:left="1040" w:firstLine="345"/>
        <w:spacing w:after="0" w:line="258" w:lineRule="auto"/>
        <w:tabs>
          <w:tab w:leader="none" w:pos="1937"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Third Amendment Lender party hereto agrees, subject to the satisfaction of the conditions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to provide (i) Commitments in the amount set forth opposite such Third Amendment Lender’s name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hereto on the Third Amendment Effective Date and (ii) L/C Commitments in the amount set forth opposite such Third Amendment Lender’s name on </w:t>
      </w:r>
      <w:r>
        <w:rPr>
          <w:rFonts w:ascii="Times New Roman" w:cs="Times New Roman" w:eastAsia="Times New Roman" w:hAnsi="Times New Roman"/>
          <w:sz w:val="20"/>
          <w:szCs w:val="20"/>
          <w:u w:val="single" w:color="auto"/>
          <w:color w:val="auto"/>
        </w:rPr>
        <w:t>Schedule II</w:t>
      </w:r>
      <w:r>
        <w:rPr>
          <w:rFonts w:ascii="Times New Roman" w:cs="Times New Roman" w:eastAsia="Times New Roman" w:hAnsi="Times New Roman"/>
          <w:sz w:val="20"/>
          <w:szCs w:val="20"/>
          <w:color w:val="auto"/>
        </w:rPr>
        <w:t xml:space="preserve"> hereto on the Third Amendment Effective Date.</w:t>
      </w:r>
    </w:p>
    <w:p>
      <w:pPr>
        <w:spacing w:after="0" w:line="185" w:lineRule="exact"/>
        <w:rPr>
          <w:rFonts w:ascii="Times New Roman" w:cs="Times New Roman" w:eastAsia="Times New Roman" w:hAnsi="Times New Roman"/>
          <w:sz w:val="20"/>
          <w:szCs w:val="20"/>
          <w:color w:val="auto"/>
        </w:rPr>
      </w:pPr>
    </w:p>
    <w:p>
      <w:pPr>
        <w:jc w:val="both"/>
        <w:ind w:left="1040" w:firstLine="345"/>
        <w:spacing w:after="0" w:line="253" w:lineRule="auto"/>
        <w:tabs>
          <w:tab w:leader="none" w:pos="1935"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hereto agrees that, effective as of the Third Amendment Effective Date, (i) Schedule 1.1A of the Existing Credit Agreement is hereby amended and restated as set forth in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hereto, (ii) Schedule 3.1A of the Existing Credit Agreement is hereby amended and restated as set forth in </w:t>
      </w:r>
      <w:r>
        <w:rPr>
          <w:rFonts w:ascii="Times New Roman" w:cs="Times New Roman" w:eastAsia="Times New Roman" w:hAnsi="Times New Roman"/>
          <w:sz w:val="20"/>
          <w:szCs w:val="20"/>
          <w:u w:val="single" w:color="auto"/>
          <w:color w:val="auto"/>
        </w:rPr>
        <w:t>Schedule II</w:t>
      </w:r>
      <w:r>
        <w:rPr>
          <w:rFonts w:ascii="Times New Roman" w:cs="Times New Roman" w:eastAsia="Times New Roman" w:hAnsi="Times New Roman"/>
          <w:sz w:val="20"/>
          <w:szCs w:val="20"/>
          <w:color w:val="auto"/>
        </w:rPr>
        <w:t xml:space="preserve"> hereto and (iii) each New Lender shall become a Lender under the Credit Agreement having the Commitment set forth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hereto, and shall be bound by the obligations as a Lender and entitled to the benefits of the Credit Agreement.</w:t>
      </w:r>
    </w:p>
    <w:p>
      <w:pPr>
        <w:spacing w:after="0" w:line="191" w:lineRule="exact"/>
        <w:rPr>
          <w:rFonts w:ascii="Times New Roman" w:cs="Times New Roman" w:eastAsia="Times New Roman" w:hAnsi="Times New Roman"/>
          <w:sz w:val="20"/>
          <w:szCs w:val="20"/>
          <w:color w:val="auto"/>
        </w:rPr>
      </w:pPr>
    </w:p>
    <w:p>
      <w:pPr>
        <w:jc w:val="both"/>
        <w:ind w:left="1040" w:firstLine="345"/>
        <w:spacing w:after="0" w:line="250" w:lineRule="auto"/>
        <w:tabs>
          <w:tab w:leader="none" w:pos="1937"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hereto agrees that, subject to the satisfaction of the conditions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on the Third Amendment Effective Date the Borrower shall (i) prepay the outstanding Revolving Loans (if any) in full in accordance with Section 2.7 of the Credit Agreement (but disregarding requirements to provide notice under the Existing Credit Agreement), (ii) simultaneously borrow new Revolving Loans in an amount equal to such prepayment (in the case of (x) Term Benchmark Loans, with an interest rate equal to the outstanding interest rate (for the avoidance of doubt, giving effect to the Amendment) and with Interest Period(s) ending on the date(s) of any then outstanding Interest Period(s) and (y) ABR Loans, with an interest rate equal to the rate per annum then applicable to ABR Loans under the Amended Credit Agreement), as applicable (as modified hereby) in accordance with Section 2.2 of the Amended Credit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w:t>
      </w:r>
      <w:r>
        <w:rPr>
          <w:rFonts w:ascii="Times New Roman" w:cs="Times New Roman" w:eastAsia="Times New Roman" w:hAnsi="Times New Roman"/>
          <w:sz w:val="20"/>
          <w:szCs w:val="20"/>
          <w:u w:val="single" w:color="auto"/>
          <w:color w:val="auto"/>
        </w:rPr>
        <w:t>subclauses</w:t>
      </w:r>
    </w:p>
    <w:p>
      <w:pPr>
        <w:spacing w:after="0" w:line="2" w:lineRule="exact"/>
        <w:rPr>
          <w:rFonts w:ascii="Times New Roman" w:cs="Times New Roman" w:eastAsia="Times New Roman" w:hAnsi="Times New Roman"/>
          <w:sz w:val="20"/>
          <w:szCs w:val="20"/>
          <w:color w:val="auto"/>
        </w:rPr>
      </w:pPr>
    </w:p>
    <w:p>
      <w:pPr>
        <w:jc w:val="both"/>
        <w:ind w:left="1040" w:firstLine="5"/>
        <w:spacing w:after="0" w:line="248" w:lineRule="auto"/>
        <w:tabs>
          <w:tab w:leader="none" w:pos="1276" w:val="left"/>
        </w:tabs>
        <w:numPr>
          <w:ilvl w:val="0"/>
          <w:numId w:val="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subsection (c)</w:t>
      </w:r>
      <w:r>
        <w:rPr>
          <w:rFonts w:ascii="Times New Roman" w:cs="Times New Roman" w:eastAsia="Times New Roman" w:hAnsi="Times New Roman"/>
          <w:sz w:val="20"/>
          <w:szCs w:val="20"/>
          <w:color w:val="auto"/>
        </w:rPr>
        <w:t xml:space="preserve">, (x) the prepayment to, and borrowing from, any existing Lender shall be effected by book entry to the extent that any portion of the amount prepaid to such Lender will be subsequently borrowed from such Lender and (y) the Third Amendment Lenders shall make and receive payments among themselves, in a manner acceptable to the Administrative Agent, so that, the Revolving Loans and participations in any outstanding Letters of Credit are reallocated and held ratably by such Third Amendment Lenders in proportion with the respective Commitments of such Third Amendment Lenders (after giving effect to </w:t>
      </w:r>
      <w:r>
        <w:rPr>
          <w:rFonts w:ascii="Times New Roman" w:cs="Times New Roman" w:eastAsia="Times New Roman" w:hAnsi="Times New Roman"/>
          <w:sz w:val="20"/>
          <w:szCs w:val="20"/>
          <w:u w:val="single" w:color="auto"/>
          <w:color w:val="auto"/>
        </w:rPr>
        <w:t>Sections 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hereof) and (iii) pay to the Third Amendment Lenders the amounts, if any, payable under Section 2.17 of the Amended Credit Agreement as a result of such prepayment (it being understood that the minimum borrowing, pro rata borrowing and pro rata payment requirements contained elsewhere in the Amended Credit Agreement shall not apply to the transactions effected pursuant to this </w:t>
      </w:r>
      <w:r>
        <w:rPr>
          <w:rFonts w:ascii="Times New Roman" w:cs="Times New Roman" w:eastAsia="Times New Roman" w:hAnsi="Times New Roman"/>
          <w:sz w:val="20"/>
          <w:szCs w:val="20"/>
          <w:u w:val="single" w:color="auto"/>
          <w:color w:val="auto"/>
        </w:rPr>
        <w:t>Section 2(c)</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Amendments to the Existing Credit Agreement</w:t>
      </w:r>
      <w:r>
        <w:rPr>
          <w:rFonts w:ascii="Times New Roman" w:cs="Times New Roman" w:eastAsia="Times New Roman" w:hAnsi="Times New Roman"/>
          <w:sz w:val="20"/>
          <w:szCs w:val="20"/>
          <w:color w:val="auto"/>
        </w:rPr>
        <w:t xml:space="preserve">. Immediately after giving effect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and subject to the satisfaction of the conditions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the Existing Credit Agreement is hereby amended in accordance with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by deleting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by inserting the double-underlined text (indicated textually in the same manner as the following example: </w:t>
      </w:r>
      <w:r>
        <w:rPr>
          <w:rFonts w:ascii="Times New Roman" w:cs="Times New Roman" w:eastAsia="Times New Roman" w:hAnsi="Times New Roman"/>
          <w:sz w:val="20"/>
          <w:szCs w:val="20"/>
          <w:u w:val="single" w:color="auto"/>
          <w:color w:val="0000FF"/>
        </w:rPr>
        <w:t>double-underlined text</w:t>
      </w:r>
      <w:r>
        <w:rPr>
          <w:rFonts w:ascii="Times New Roman" w:cs="Times New Roman" w:eastAsia="Times New Roman" w:hAnsi="Times New Roman"/>
          <w:sz w:val="20"/>
          <w:szCs w:val="20"/>
          <w:color w:val="auto"/>
        </w:rPr>
        <w:t>), in each case in the place where such text appears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Conditions to Effectiveness of this Amendment</w:t>
      </w:r>
      <w:r>
        <w:rPr>
          <w:rFonts w:ascii="Times New Roman" w:cs="Times New Roman" w:eastAsia="Times New Roman" w:hAnsi="Times New Roman"/>
          <w:sz w:val="20"/>
          <w:szCs w:val="20"/>
          <w:color w:val="auto"/>
        </w:rPr>
        <w:t>. This Amendment shall become effective on the date on which the following conditions precedent have been satisfied or waived (the date on which such conditions shall have been so satisfied or waived, the “</w:t>
      </w:r>
      <w:r>
        <w:rPr>
          <w:rFonts w:ascii="Times New Roman" w:cs="Times New Roman" w:eastAsia="Times New Roman" w:hAnsi="Times New Roman"/>
          <w:sz w:val="20"/>
          <w:szCs w:val="20"/>
          <w:u w:val="single" w:color="auto"/>
          <w:color w:val="auto"/>
        </w:rPr>
        <w:t>Third Amendment Effective Date</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left="660" w:firstLine="644"/>
        <w:spacing w:after="0" w:line="254" w:lineRule="auto"/>
        <w:tabs>
          <w:tab w:leader="none" w:pos="194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counterpart of this Amendment, executed and delivered by a duly authorized officer of (i) each Loan Party, (ii) each Lender party hereto (such Lenders constituting all of the Lenders under the Existing Credit Agreement), (iii) each Issuing Lender party hereto (such Issuing Lenders constituting all of the Issuing Lenders under the Existing Credit Agreement), (iv) each New Lender and (v) the Administrative Agent.</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Third Amendment Lenders party hereto and the Administrative Agent shall have received all fees required to be paid, and all expenses for which invoices have been presented (including the reasonable fees and expenses of legal counsel to the Administrative Agent) on or before the Third Amendment Effective Date.</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48" w:lineRule="auto"/>
        <w:tabs>
          <w:tab w:leader="none" w:pos="194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following supporting documents with respect to the Borrower and the other Loan Parties: (i) a copy of its certificate or articles of incorporation, formation, organization or certificate of limited partnership (as applicable) certified as of a date reasonably close to the Third Amendment Effective Date to be a true and accurate copy by the Secretary of State (or similar governmental authority) of its state of incorporation or formation, (ii) a certificate of that Secretary of State (or similar governmental authority), dated as of a date reasonably close to the Third Amendment Effective Date, as to its existence and (if available) good standing, (iii) a certificate of the Secretary of State (or similar governmental authority) of each jurisdiction, other than its state of incorporation or formation, in which it is qualified as a foreign corporation, limited liability company or other entity (as applicable), as to such qualification, unless any failure to be so qualified in such jurisdiction could not reasonably be expected to result in a Material Adverse Effect, (iv) a copy of its by-laws, partnership agreement or operating agreement (as applicable), certified by its secretary or assistant secretary, general partner, manager or other appropriate Person (as applicable) to be a true and accurate copy of its by-laws, partnership agreement or operating agreement (as applicable) in effect on the Third Amendment Effective Date; (v) a certificate of its secretary or assistant secretary, general partner, manager or other appropriate Person (as applicable), as to the incumbency and signatures of its officers or other Persons who have executed any documents on behalf of such Loan Party in connection with the transactions contemplated by this Amendment, (vi) a copy of resolutions of its Board of Directors, certified by its secretary or assistant secretary to be a true and accurate copy of resolutions duly adopted by such Board of Directors, or other appropriate resolutions or consents of, its partners or members certified by its general partner or manager (as applicable) to be true and correct copies thereof duly adopted, approved or otherwise delivered by its partners or members (to the extent necessary and applicable), each of which is certified to be in full force and effect on the Third Amendment Effective Date, authorizing the execution and delivery by it of this Amendment and other Loan Documents delivered on the Third Amendment Effective Date to which it is a party and the performance by it of all its obligations thereunder and (vii) such additional supporting documents and other information with respect to its operations and affairs as the Administrative Agent may reasonably request (or with respect to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certification that, except as otherwise indicated therein, there have been no amendments, restatements, supplements or modifications since delivered to the Administrative Agent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4" w:lineRule="exact"/>
        <w:rPr>
          <w:sz w:val="20"/>
          <w:szCs w:val="20"/>
          <w:color w:val="auto"/>
        </w:rPr>
      </w:pPr>
    </w:p>
    <w:p>
      <w:pPr>
        <w:jc w:val="both"/>
        <w:ind w:left="-460" w:firstLine="644"/>
        <w:spacing w:after="0" w:line="258" w:lineRule="auto"/>
        <w:tabs>
          <w:tab w:leader="none" w:pos="82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favorable legal opinion of (i) King &amp; Spalding LLP, counsel to the Borrower and its Subsidiaries and (ii) Michael A. Dunn (or his successor), as General Counsel of the Borrower. Such legal opinions shall cover such other matters incident to the transactions contemplated by this Amendment as the Administrative Agent may reasonably require.</w:t>
      </w:r>
    </w:p>
    <w:p>
      <w:pPr>
        <w:spacing w:after="0" w:line="172" w:lineRule="exact"/>
        <w:rPr>
          <w:rFonts w:ascii="Times New Roman" w:cs="Times New Roman" w:eastAsia="Times New Roman" w:hAnsi="Times New Roman"/>
          <w:sz w:val="20"/>
          <w:szCs w:val="20"/>
          <w:color w:val="auto"/>
        </w:rPr>
      </w:pPr>
    </w:p>
    <w:p>
      <w:pPr>
        <w:jc w:val="both"/>
        <w:ind w:left="-460" w:firstLine="644"/>
        <w:spacing w:after="0" w:line="257" w:lineRule="auto"/>
        <w:tabs>
          <w:tab w:leader="none" w:pos="82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no later than seven (7) days prior to the Third Amendment Effective Date (or such lesser period of time as the Administrative Agent may agree in its sole discretion), delivery of (i) a Compliance Certificate, substantially in the form of Exhibit B to the Existing Credit Agreement, as of December 31, 2025, and (ii) a Borrowing Base Certificate, substantially in the form of Exhibit C to the Existing Credit Agreement, as of December 31, 2025, with customary supporting documentation and supplemental reporting.</w:t>
      </w:r>
    </w:p>
    <w:p>
      <w:pPr>
        <w:spacing w:after="0" w:line="172" w:lineRule="exact"/>
        <w:rPr>
          <w:rFonts w:ascii="Times New Roman" w:cs="Times New Roman" w:eastAsia="Times New Roman" w:hAnsi="Times New Roman"/>
          <w:sz w:val="20"/>
          <w:szCs w:val="20"/>
          <w:color w:val="auto"/>
        </w:rPr>
      </w:pPr>
    </w:p>
    <w:p>
      <w:pPr>
        <w:jc w:val="both"/>
        <w:ind w:left="-460" w:firstLine="644"/>
        <w:spacing w:after="0" w:line="253" w:lineRule="auto"/>
        <w:tabs>
          <w:tab w:leader="none" w:pos="83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Administrative Agent shall have received, at least five (5) days prior to the Third Amendment Effective Date, all documentation and other information regarding the Borrower requested in connection with applicable “know your customer” and anti-money laundering rules and regulations, including the Patriot Act and (ii) at least five (5) days prior to the Third Amendment Effective Date, any Third Amendment Lender that has requested, in a written notice to the Borrower, a Beneficial Ownership Certification in relation to the Borrower shall have received such Beneficial Ownership Certification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execution and delivery by such Third Amendment Lender of its signature page to this Amendment, the condition set forth in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deemed to be satisfied).</w:t>
      </w:r>
    </w:p>
    <w:p>
      <w:pPr>
        <w:spacing w:after="0" w:line="179" w:lineRule="exact"/>
        <w:rPr>
          <w:rFonts w:ascii="Times New Roman" w:cs="Times New Roman" w:eastAsia="Times New Roman" w:hAnsi="Times New Roman"/>
          <w:sz w:val="20"/>
          <w:szCs w:val="20"/>
          <w:color w:val="auto"/>
        </w:rPr>
      </w:pPr>
    </w:p>
    <w:p>
      <w:pPr>
        <w:jc w:val="both"/>
        <w:ind w:left="-460" w:firstLine="644"/>
        <w:spacing w:after="0" w:line="253" w:lineRule="auto"/>
        <w:tabs>
          <w:tab w:leader="none" w:pos="82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(x) each of the representations and warranties made by any Loan Party in or pursuant to the Loan Documents are true and correct in all material respects (except any representations and warranties which are qualified by materiality or reference to Material Adverse Effect, are correct and accurate in all respects) on and as the date hereof as if made on and as the date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such representations and warranties are expressly made only as of a prior date, such representations and warranties are true and correct in all material respects (or all respects, as applicable) as of such prior date and (y) no Default or Event of Default has occurred or is continuing on the date hereof or after giving effect to this Amendment (including the Extension and the Third Amendment Commitment Increase) and (ii) the Administrative Agent shall have received a certificate, dated as of the Third Amendment Effective Date and signed by a Responsible Officer of the Borrower certifying as to the foregoing.</w:t>
      </w:r>
    </w:p>
    <w:p>
      <w:pPr>
        <w:spacing w:after="0" w:line="180" w:lineRule="exact"/>
        <w:rPr>
          <w:rFonts w:ascii="Times New Roman" w:cs="Times New Roman" w:eastAsia="Times New Roman" w:hAnsi="Times New Roman"/>
          <w:sz w:val="20"/>
          <w:szCs w:val="20"/>
          <w:color w:val="auto"/>
        </w:rPr>
      </w:pPr>
    </w:p>
    <w:p>
      <w:pPr>
        <w:jc w:val="both"/>
        <w:ind w:left="-460" w:firstLine="644"/>
        <w:spacing w:after="0" w:line="253" w:lineRule="auto"/>
        <w:tabs>
          <w:tab w:leader="none" w:pos="82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action, suit or Proceeding before any arbitrator or any Governmental Authority shall have been commenced, no investigation by any Governmental Authority shall have been commenced and no action, suit, Proceeding or investigation by any Governmental Authority shall have been threatened (in writing), against the Borrower or any Subsidiary of the Borrower or any of the officers, directors or managers of the Borrower or any Subsidiary of the Borrower, seeking to restrain, prevent or change the transactions contemplated by this Amendment in whole or in part or questioning the validity or legality of the transactions contemplated by this Amendment or seeking damages in connection with such transactions.</w:t>
      </w:r>
    </w:p>
    <w:p>
      <w:pPr>
        <w:spacing w:after="0" w:line="192" w:lineRule="exact"/>
        <w:rPr>
          <w:rFonts w:ascii="Times New Roman" w:cs="Times New Roman" w:eastAsia="Times New Roman" w:hAnsi="Times New Roman"/>
          <w:sz w:val="20"/>
          <w:szCs w:val="20"/>
          <w:color w:val="auto"/>
        </w:rPr>
      </w:pPr>
    </w:p>
    <w:p>
      <w:pPr>
        <w:jc w:val="both"/>
        <w:ind w:left="-460" w:firstLine="644"/>
        <w:spacing w:after="0" w:line="261" w:lineRule="auto"/>
        <w:tabs>
          <w:tab w:leader="none" w:pos="83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governmental and third party consents, licenses and approvals necessary or, in the discretion of the Administrative Agent, advisable in accordance with the transactions contemplated hereby and the continuing operations of the Borrower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120"/>
          </w:cols>
          <w:pgMar w:left="1440" w:top="1440" w:right="339" w:bottom="1440" w:gutter="0" w:footer="0" w:header="0"/>
        </w:sectPr>
      </w:pPr>
    </w:p>
    <w:bookmarkStart w:id="7" w:name="page8"/>
    <w:bookmarkEnd w:id="7"/>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(including shareholder approvals, if any) shall have been obtained on reasonably satisfactory terms and be in full force and effect.</w:t>
      </w:r>
    </w:p>
    <w:p>
      <w:pPr>
        <w:spacing w:after="0" w:line="216" w:lineRule="exact"/>
        <w:rPr>
          <w:sz w:val="20"/>
          <w:szCs w:val="20"/>
          <w:color w:val="auto"/>
        </w:rPr>
      </w:pPr>
    </w:p>
    <w:p>
      <w:pPr>
        <w:ind w:left="1940" w:hanging="636"/>
        <w:spacing w:after="0"/>
        <w:tabs>
          <w:tab w:leader="none" w:pos="19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duly executed Solvency Certificate.</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have occurred any event, condition, situation or status since September 30, 2025 that has had or could reasonably be expected to result in a material adverse change in the consolidated financial condition or business or operations of the Borrower and its Restricted Subsidiaries.</w:t>
      </w:r>
    </w:p>
    <w:p>
      <w:pPr>
        <w:spacing w:after="0" w:line="18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Borrower represents and warrants to Administrative Agent and each Third Amendment Lender that, as of the date hereof:</w:t>
      </w:r>
    </w:p>
    <w:p>
      <w:pPr>
        <w:spacing w:after="0" w:line="173" w:lineRule="exact"/>
        <w:rPr>
          <w:sz w:val="20"/>
          <w:szCs w:val="20"/>
          <w:color w:val="auto"/>
        </w:rPr>
      </w:pPr>
    </w:p>
    <w:p>
      <w:pPr>
        <w:jc w:val="both"/>
        <w:ind w:firstLine="1304"/>
        <w:spacing w:after="0" w:line="258" w:lineRule="auto"/>
        <w:tabs>
          <w:tab w:leader="none" w:pos="193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Borrower has the power and authority to execute and deliver this Amendment and to perform all its obligations hereunder and (ii) this Amendment has been duly executed and delivered by the Borrower and this Amendment constitutes a legal, valid and binding obligation of the Borrower enforceable against the Borrower in accordance with its terms, except as enforceability may be limited by bankruptcy, insolvency or similar laws affecting the enforcement of creditors’ rights generally;</w:t>
      </w:r>
    </w:p>
    <w:p>
      <w:pPr>
        <w:spacing w:after="0" w:line="172"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3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the Borrower of this Amendment and its performance of its obligations hereunder and any and all actions taken by the Borrower (i) have been duly authorized by all requisite corporate action, (ii) will not violate or be in conflict with (A) in any material respect, any provisions of law (including, without limitation, any applicable usury or similar law), (B) in any material respect, any order, rule, regulation, writ, judgment, injunction, decree or award of any court or other agency of government, or (C) any provision of its certificate of incorporation or by-laws, (iii) will not violate, be in conflict with, result in a breach of or constitute (with or without the giving of notice or the passage of time or both) a default under any indenture, agreement or other instrument to which the Borrower is a party or by which it or any of its properties or assets is or may be bound (including without limitation any indentures pursuant to which any debt Securities of the Borrower have been issued), except in each case where such violation, conflict or breach would not reasonably be expected to have a Material Adverse Effect and (iv) except as otherwise contemplated by this Amendment, will not result in the creation or imposition of any lien, charge or encumbrance upon, or any security interest in, any of its properties or assets;</w:t>
      </w:r>
    </w:p>
    <w:p>
      <w:pPr>
        <w:spacing w:after="0" w:line="177"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3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order, license, consent, approval, authorization of, or registration, declaration, recording or filing (except for the filing of a Current Report on Form 8-K, and a Quarterly Report on Form 10-Q, in each case with the Securities and Exchange Commission) with, or validation of, or exemption by, any governmental or public authority (whether federal, state or local, domestic or foreign) or any subdivision thereof is required in connection with, or as a condition precedent to, the due and valid execution, delivery and performance by the Borrower of this Amendment, or the legality, validity, binding effect or enforceability of any of the respective terms, provisions or conditions thereof and (ii) to the extent that any franchises, licenses, certificates, authorizations, approvals or consents from any federal, state or local (domestic or foreign) government, commission, bureau or agency are required for the acquisition, ownership, operation or maintenance by the Borrower of properties now owned, operated or maintained by any of them, those franchises, licenses, certificates, authorizations, approvals and consents have been validly granted, are in full force and effect and constitute valid and sufficient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authorization therefor, except in each case to the extent of omissions that would not have a Material Adverse Effect;</w:t>
      </w:r>
    </w:p>
    <w:p>
      <w:pPr>
        <w:spacing w:after="0" w:line="216" w:lineRule="exact"/>
        <w:rPr>
          <w:sz w:val="20"/>
          <w:szCs w:val="20"/>
          <w:color w:val="auto"/>
        </w:rPr>
      </w:pPr>
    </w:p>
    <w:p>
      <w:pPr>
        <w:jc w:val="both"/>
        <w:ind w:firstLine="1304"/>
        <w:spacing w:after="0" w:line="257" w:lineRule="auto"/>
        <w:tabs>
          <w:tab w:leader="none" w:pos="193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representations and warranties made by any Loan Party in or pursuant to the Loan Documents are true and correct in all material respects (except any representations and warranties which are qualified by materiality or reference to Material Adverse Effect, are correct and accurate in all respects) on and as the date hereof as if made on and as the date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such representations and warranties are expressly made only as of a prior date, such representations and warranties are true and correct in all material respects (or all respects, as applicable) as of such prior date; and</w:t>
      </w:r>
    </w:p>
    <w:p>
      <w:pPr>
        <w:spacing w:after="0" w:line="172" w:lineRule="exact"/>
        <w:rPr>
          <w:rFonts w:ascii="Times New Roman" w:cs="Times New Roman" w:eastAsia="Times New Roman" w:hAnsi="Times New Roman"/>
          <w:sz w:val="20"/>
          <w:szCs w:val="20"/>
          <w:color w:val="auto"/>
        </w:rPr>
      </w:pPr>
    </w:p>
    <w:p>
      <w:pPr>
        <w:ind w:firstLine="1304"/>
        <w:spacing w:after="0" w:line="283" w:lineRule="auto"/>
        <w:tabs>
          <w:tab w:leader="none" w:pos="193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or is continuing on the date hereof or after giving effect to this Amendment (including the Extension and the Third Amendment Commitment Increase).</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19"/>
          <w:szCs w:val="19"/>
          <w:u w:val="single" w:color="auto"/>
          <w:color w:val="auto"/>
        </w:rPr>
        <w:t>Continuing Effect; No Other Amendments or Consents; Reaffirmation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hanging="328"/>
        <w:spacing w:after="0" w:line="249" w:lineRule="auto"/>
        <w:tabs>
          <w:tab w:leader="none" w:pos="65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herein, all of the terms and provisions of the Existing Credit Agreement are and shall remain in full force and effect. The amendments provided for herein are limited to the specific subsections of the Existing Credit Agreement specified herein and shall not constitute a consent, waiver or amendment of, or an indication of the Administrative Agent’s or the Third Amendment Lenders’ willingness to consent to any action requiring consent under any other provisions of the Existing Credit Agreement or the same subsection for any other date or time period. Upon the effectiveness of the amendments set forth herein, on and after the Third Amendment Effective Date, each reference in the Existing Credit Agreement to “this Amendment,” “the Agreement,” “hereunder,” “hereof” or words of like import referring to the Existing Credit Agreement, and each reference in the other Loan Documents to “Credit Agreement,” “thereunder,” “thereof” or words of like import referring to the Existing Credit Agreement, shall mean and be a reference to the Amended Credit Agreement. Nothing contained herein shall be construed as a substitution or novation of the obligations outstanding under the Existing Credit Agreement or the other Loan Documents or instruments securing the same, which shall remain in full force and effect, except to any extent expressly modified hereby or by instruments executed concurrently herewith. Nothing implied in this Amendment, the Existing Credit Agreement, the other Loan Documents or in any other document contemplated hereby or thereby shall be construed as a release or other discharge of any of the Borrower or any other Loan Party from any of its respective obligations and liabilities as a “Borrower” or “Loan Party” hereunder and under the Existing Credit Agreement or any other Loan Document. The Existing Credit Agreement shall remain in full force and effect, until (as applicable) and except to any extent modified hereby or in connection herewith.</w:t>
      </w:r>
    </w:p>
    <w:p>
      <w:pPr>
        <w:spacing w:after="0" w:line="2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the Administrative Agent acknowledge and agree that this Amendment shall constitute a Loan Document.</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58" w:lineRule="auto"/>
        <w:tabs>
          <w:tab w:leader="none" w:pos="65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Third Amendment Lender, by delivering its signature page to this Amendment on the Third Amendment Effective Date, shall be deemed to have acknowledged receipt of, and consented to and approved, this Amendment (including the Extension and the Thid Amendment Commitment Increase) and each other document required to be delivered to, or be approved by or satisfactory or reasonably satisfactory to, the Administrative Agent, or such Third Amendment Lenders on the Third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4" w:lineRule="exact"/>
        <w:rPr>
          <w:sz w:val="20"/>
          <w:szCs w:val="20"/>
          <w:color w:val="auto"/>
        </w:rPr>
      </w:pPr>
    </w:p>
    <w:p>
      <w:pPr>
        <w:jc w:val="both"/>
        <w:ind w:left="660" w:hanging="328"/>
        <w:spacing w:after="0" w:line="258"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hereby expressly acknowledges the terms of this Amendment and reaffirms, as of the date hereof (i) each Loan Party’s covenants and agreements contained in each Loan Document to which it is a party, including, in each case, such covenants and agreements as in effect immediately after giving effect to this Amendment and the transactions contemplated hereby and (ii) each Loan Party’s guarantee (if applicable) of the Obligations under the Guarantee Agreement.</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Borrower agrees to pay and reimburse the Administrative Agent for all of its reasonable and documented out-of-pocket expenses incurred in connection with the preparation and delivery of this Amendment, and any other documents prepared in connection herewith and the transactions contemplated hereby, including, without limitation, the reasonable and documented out-of-pocket fees and disbursements of counsel to the Administrative Agent, regardless of whether such out-of-pocket fees or disbursements have been presented to the Borrower prior to the Third Amendment Effective Date, in accordance with the terms of, and solely to the extent required by, Section 10.5 of the Existing Credit Agreement.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Counterparts; Electronic Execution</w:t>
      </w:r>
      <w:r>
        <w:rPr>
          <w:rFonts w:ascii="Times New Roman" w:cs="Times New Roman" w:eastAsia="Times New Roman" w:hAnsi="Times New Roman"/>
          <w:sz w:val="20"/>
          <w:szCs w:val="20"/>
          <w:color w:val="auto"/>
        </w:rPr>
        <w:t xml:space="preserve">. The provisions of Section 10.8 of the Existing Credit Agreement are hereby incorporated herein by reference and shall apply to this Amendment and any Ancillary Document related to this Amendment </w:t>
      </w:r>
      <w:r>
        <w:rPr>
          <w:rFonts w:ascii="Times New Roman" w:cs="Times New Roman" w:eastAsia="Times New Roman" w:hAnsi="Times New Roman"/>
          <w:sz w:val="20"/>
          <w:szCs w:val="20"/>
          <w:i w:val="1"/>
          <w:iCs w:val="1"/>
          <w:color w:val="auto"/>
        </w:rPr>
        <w:t>mutatis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mutandis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provisions of this Amendment shall be binding upon and inure to the benefit of the parties hereto and their respective successors and assigns. Nothing in this Amendment, expressed or implied, shall be construed to confer upon any Person (other than the parties hereto, their respective successors and assigns) any legal or equitable right, remedy or claim under or by reason of this Amendment.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xml:space="preserve">. The provisions of Sections 10.5 and 10.12 of the Existing Credit Agreement are hereby incorporated herein by reference and shall apply to this Amendment and any Ancillary Document related to this Amendment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 THIS AMENDMENT AND THE RIGHTS AND OBLIGATIONS OF THE PARTIES</w:t>
      </w:r>
    </w:p>
    <w:p>
      <w:pPr>
        <w:spacing w:after="0" w:line="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UNDER THIS AMENDMENT SHALL BE GOVERNED BY, AND CONSTRUED AND INTERPRETED IN ACCORDANCE WITH, THE LAW OF THE STATE OF NEW YORK.</w:t>
      </w:r>
    </w:p>
    <w:p>
      <w:pPr>
        <w:spacing w:after="0" w:line="16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b w:val="1"/>
          <w:bCs w:val="1"/>
          <w:u w:val="single" w:color="auto"/>
          <w:color w:val="auto"/>
        </w:rPr>
        <w:t>WAIVER OF JURY TRIAL</w:t>
      </w:r>
      <w:r>
        <w:rPr>
          <w:rFonts w:ascii="Times New Roman" w:cs="Times New Roman" w:eastAsia="Times New Roman" w:hAnsi="Times New Roman"/>
          <w:sz w:val="20"/>
          <w:szCs w:val="20"/>
          <w:b w:val="1"/>
          <w:bCs w:val="1"/>
          <w:color w:val="auto"/>
        </w:rPr>
        <w:t>. THE PROVISIONS OF SECTION 10.16 OF THE EXISTING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AGREEMENT ARE HEREBY INCORPORATED HEREIN BY REFERENCE AND SHALL APPLY TO THIS AMENDMENT AND ANY ANCILLARY DOCUMENT RELATED TO THIS AMENDMENT </w:t>
      </w:r>
      <w:r>
        <w:rPr>
          <w:rFonts w:ascii="Times New Roman" w:cs="Times New Roman" w:eastAsia="Times New Roman" w:hAnsi="Times New Roman"/>
          <w:sz w:val="20"/>
          <w:szCs w:val="20"/>
          <w:b w:val="1"/>
          <w:bCs w:val="1"/>
          <w:i w:val="1"/>
          <w:iCs w:val="1"/>
          <w:color w:val="auto"/>
        </w:rPr>
        <w:t>MUTATIS MUTANDIS</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parties have caused this Amendment to be duly executed and delivered by their proper and duly authorized officers as of the day and year first above written.</w:t>
      </w:r>
    </w:p>
    <w:p>
      <w:pPr>
        <w:spacing w:after="0" w:line="19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BEAZER HOMES USA, INC.</w:t>
      </w:r>
    </w:p>
    <w:p>
      <w:pPr>
        <w:spacing w:after="0" w:line="200" w:lineRule="exact"/>
        <w:rPr>
          <w:sz w:val="20"/>
          <w:szCs w:val="20"/>
          <w:color w:val="auto"/>
        </w:rPr>
      </w:pPr>
    </w:p>
    <w:p>
      <w:pPr>
        <w:spacing w:after="0" w:line="276" w:lineRule="exact"/>
        <w:rPr>
          <w:sz w:val="20"/>
          <w:szCs w:val="20"/>
          <w:color w:val="auto"/>
        </w:rPr>
      </w:pPr>
    </w:p>
    <w:p>
      <w:pPr>
        <w:ind w:left="4640"/>
        <w:spacing w:after="0"/>
        <w:tabs>
          <w:tab w:leader="none" w:pos="5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David I. Goldberg</w:t>
      </w:r>
    </w:p>
    <w:p>
      <w:pPr>
        <w:spacing w:after="0" w:line="6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Name: David I. Goldberg</w:t>
      </w:r>
    </w:p>
    <w:p>
      <w:pPr>
        <w:spacing w:after="0" w:line="2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Title: Senior Vice President and Chief Financial Officer</w:t>
      </w:r>
    </w:p>
    <w:p>
      <w:pPr>
        <w:spacing w:after="0" w:line="200" w:lineRule="exact"/>
        <w:rPr>
          <w:sz w:val="20"/>
          <w:szCs w:val="20"/>
          <w:color w:val="auto"/>
        </w:rPr>
      </w:pPr>
    </w:p>
    <w:p>
      <w:pPr>
        <w:spacing w:after="0" w:line="22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BEAZER GENERAL SERVICES, INC.</w:t>
      </w:r>
    </w:p>
    <w:p>
      <w:pPr>
        <w:spacing w:after="0" w:line="2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BEAZER HOMES INDIANA HOLDINGS CORP.</w:t>
      </w:r>
    </w:p>
    <w:p>
      <w:pPr>
        <w:spacing w:after="0" w:line="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BEAZER HOMES SALES, INC.</w:t>
      </w:r>
    </w:p>
    <w:p>
      <w:pPr>
        <w:spacing w:after="0" w:line="1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BEAZER HOMES TEXAS HOLDINGS, INC.</w:t>
      </w:r>
    </w:p>
    <w:p>
      <w:pPr>
        <w:spacing w:after="0" w:line="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BEAZER REALTY LOS ANGELES, INC.</w:t>
      </w:r>
    </w:p>
    <w:p>
      <w:pPr>
        <w:spacing w:after="0" w:line="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BEAZER REALTY CORP.</w:t>
      </w:r>
    </w:p>
    <w:p>
      <w:pPr>
        <w:spacing w:after="0" w:line="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BEAZER HOMES HOLDINGS, LLC</w:t>
      </w:r>
    </w:p>
    <w:p>
      <w:pPr>
        <w:spacing w:after="0" w:line="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BEAZER HOMES, LLC</w:t>
      </w:r>
    </w:p>
    <w:p>
      <w:pPr>
        <w:spacing w:after="0" w:line="1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BH MATERIALS, LLC</w:t>
      </w:r>
    </w:p>
    <w:p>
      <w:pPr>
        <w:spacing w:after="0" w:line="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MARSHFIELD LAND, LLC</w:t>
      </w:r>
    </w:p>
    <w:p>
      <w:pPr>
        <w:spacing w:after="0" w:line="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BH INVESTMENT HOLDINGS, LLC</w:t>
      </w:r>
    </w:p>
    <w:p>
      <w:pPr>
        <w:spacing w:after="0" w:line="200" w:lineRule="exact"/>
        <w:rPr>
          <w:sz w:val="20"/>
          <w:szCs w:val="20"/>
          <w:color w:val="auto"/>
        </w:rPr>
      </w:pPr>
    </w:p>
    <w:p>
      <w:pPr>
        <w:spacing w:after="0" w:line="32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By: /s/ David I.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40005</wp:posOffset>
            </wp:positionV>
            <wp:extent cx="24517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Name: David I. Goldberg</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2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BEAZER MORTGAGE CORPORATION</w:t>
      </w:r>
    </w:p>
    <w:p>
      <w:pPr>
        <w:spacing w:after="0" w:line="31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By: /s/ David I.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40005</wp:posOffset>
            </wp:positionV>
            <wp:extent cx="24517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1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Name: David I. Goldberg</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line="23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BEAZER CLARKSBURG, LLC</w:t>
      </w:r>
    </w:p>
    <w:p>
      <w:pPr>
        <w:spacing w:after="0" w:line="2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BEAZER HOMES INVESTMENTS, LLC</w:t>
      </w:r>
    </w:p>
    <w:p>
      <w:pPr>
        <w:spacing w:after="0" w:line="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DOVE BARRINGTON DEVELOPMENT LLC</w:t>
      </w:r>
    </w:p>
    <w:p>
      <w:pPr>
        <w:spacing w:after="0" w:line="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BEAZER GAIN, LLC</w:t>
      </w:r>
    </w:p>
    <w:p>
      <w:pPr>
        <w:spacing w:after="0" w:line="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BALLARD GREEN UTILITY COMPANY, LLC</w:t>
      </w:r>
    </w:p>
    <w:p>
      <w:pPr>
        <w:spacing w:after="0" w:line="24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By: BEAZER HOMES, LLC, its Sole Member</w:t>
      </w:r>
    </w:p>
    <w:p>
      <w:pPr>
        <w:spacing w:after="0" w:line="200" w:lineRule="exact"/>
        <w:rPr>
          <w:sz w:val="20"/>
          <w:szCs w:val="20"/>
          <w:color w:val="auto"/>
        </w:rPr>
      </w:pPr>
    </w:p>
    <w:p>
      <w:pPr>
        <w:spacing w:after="0" w:line="34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By: /s/ David I.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40005</wp:posOffset>
            </wp:positionV>
            <wp:extent cx="24517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Name: David I. Goldberg</w:t>
      </w:r>
    </w:p>
    <w:p>
      <w:pPr>
        <w:spacing w:after="0" w:line="2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Title: 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Third Amendment]</w:t>
      </w:r>
    </w:p>
    <w:p>
      <w:pPr>
        <w:sectPr>
          <w:pgSz w:w="11900" w:h="16838" w:orient="portrait"/>
          <w:cols w:equalWidth="0" w:num="1">
            <w:col w:w="11240"/>
          </w:cols>
          <w:pgMar w:left="320" w:top="1413" w:right="339" w:bottom="1440" w:gutter="0" w:footer="0" w:header="0"/>
        </w:sectPr>
      </w:pPr>
    </w:p>
    <w:bookmarkStart w:id="11" w:name="page12"/>
    <w:bookmarkEnd w:id="11"/>
    <w:p>
      <w:pPr>
        <w:ind w:left="2540"/>
        <w:spacing w:after="0"/>
        <w:rPr>
          <w:sz w:val="20"/>
          <w:szCs w:val="20"/>
          <w:color w:val="auto"/>
        </w:rPr>
      </w:pPr>
      <w:r>
        <w:rPr>
          <w:rFonts w:ascii="Times New Roman" w:cs="Times New Roman" w:eastAsia="Times New Roman" w:hAnsi="Times New Roman"/>
          <w:sz w:val="20"/>
          <w:szCs w:val="20"/>
          <w:b w:val="1"/>
          <w:bCs w:val="1"/>
          <w:color w:val="auto"/>
        </w:rPr>
        <w:t>BEAZER REALTY SERVICES, LLC</w:t>
      </w:r>
    </w:p>
    <w:p>
      <w:pPr>
        <w:spacing w:after="0" w:line="26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 BEAZER HOMES INVESTMENTS, LLC, its Sole Member</w:t>
      </w:r>
    </w:p>
    <w:p>
      <w:pPr>
        <w:spacing w:after="0" w:line="2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By: BEAZER HOMES, LLC, its Sole Member</w:t>
      </w:r>
    </w:p>
    <w:p>
      <w:pPr>
        <w:spacing w:after="0" w:line="32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By: /s/ David I.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40005</wp:posOffset>
            </wp:positionV>
            <wp:extent cx="24517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1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Name: David I. Goldberg</w:t>
      </w:r>
    </w:p>
    <w:p>
      <w:pPr>
        <w:spacing w:after="0" w:line="2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Title: Senior Vice President and Chief Financial Officer</w:t>
      </w:r>
    </w:p>
    <w:p>
      <w:pPr>
        <w:spacing w:after="0" w:line="23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BEAZER HOMES TEXAS, L.P.</w:t>
      </w:r>
    </w:p>
    <w:p>
      <w:pPr>
        <w:spacing w:after="0" w:line="24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By: BEAZER HOMES TEXAS HOLDINGS, INC., its General Partner</w:t>
      </w:r>
    </w:p>
    <w:p>
      <w:pPr>
        <w:spacing w:after="0" w:line="200" w:lineRule="exact"/>
        <w:rPr>
          <w:sz w:val="20"/>
          <w:szCs w:val="20"/>
          <w:color w:val="auto"/>
        </w:rPr>
      </w:pPr>
    </w:p>
    <w:p>
      <w:pPr>
        <w:spacing w:after="0" w:line="36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By: /s/ David I.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40005</wp:posOffset>
            </wp:positionV>
            <wp:extent cx="2451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1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Name: David I. Goldberg</w:t>
      </w:r>
    </w:p>
    <w:p>
      <w:pPr>
        <w:spacing w:after="0" w:line="2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3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BH PROCUREMENT SERVICES, INC.</w:t>
      </w:r>
    </w:p>
    <w:p>
      <w:pPr>
        <w:spacing w:after="0" w:line="24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 BEAZER HOMES TEXAS, L.P., its Sole Shareholder</w:t>
      </w:r>
    </w:p>
    <w:p>
      <w:pPr>
        <w:spacing w:after="0" w:line="25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By: BEAZER HOMES TEXAS HOLDINGS, INC., its General Partner</w:t>
      </w:r>
    </w:p>
    <w:p>
      <w:pPr>
        <w:spacing w:after="0" w:line="30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By: /s/ David I.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40005</wp:posOffset>
            </wp:positionV>
            <wp:extent cx="2451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2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Name: David I. Goldberg</w:t>
      </w:r>
    </w:p>
    <w:p>
      <w:pPr>
        <w:spacing w:after="0" w:line="2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BEAZER HOMES INDIANA LLP</w:t>
      </w:r>
    </w:p>
    <w:p>
      <w:pPr>
        <w:spacing w:after="0" w:line="26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 BEAZER HOMES INVESTMENTS, LLC, its Managing Partner</w:t>
      </w:r>
    </w:p>
    <w:p>
      <w:pPr>
        <w:spacing w:after="0" w:line="2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By: BEAZER HOMES, LLC, its Sole Member</w:t>
      </w:r>
    </w:p>
    <w:p>
      <w:pPr>
        <w:spacing w:after="0" w:line="32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By: /s/ David I.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40005</wp:posOffset>
            </wp:positionV>
            <wp:extent cx="2451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2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Name: David I. Goldberg</w:t>
      </w:r>
    </w:p>
    <w:p>
      <w:pPr>
        <w:spacing w:after="0" w:line="2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Title: 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Third Amendment]</w:t>
      </w:r>
    </w:p>
    <w:p>
      <w:pPr>
        <w:sectPr>
          <w:pgSz w:w="11900" w:h="16838" w:orient="portrait"/>
          <w:cols w:equalWidth="0" w:num="1">
            <w:col w:w="9019"/>
          </w:cols>
          <w:pgMar w:left="1440" w:top="1409" w:right="1440" w:bottom="1440" w:gutter="0" w:footer="0" w:header="0"/>
        </w:sectPr>
      </w:pPr>
    </w:p>
    <w:bookmarkStart w:id="12" w:name="page13"/>
    <w:bookmarkEnd w:id="12"/>
    <w:p>
      <w:pPr>
        <w:ind w:left="2540"/>
        <w:spacing w:after="0"/>
        <w:rPr>
          <w:sz w:val="20"/>
          <w:szCs w:val="20"/>
          <w:color w:val="auto"/>
        </w:rPr>
      </w:pPr>
      <w:r>
        <w:rPr>
          <w:rFonts w:ascii="Times New Roman" w:cs="Times New Roman" w:eastAsia="Times New Roman" w:hAnsi="Times New Roman"/>
          <w:sz w:val="20"/>
          <w:szCs w:val="20"/>
          <w:b w:val="1"/>
          <w:bCs w:val="1"/>
          <w:color w:val="auto"/>
        </w:rPr>
        <w:t>CLARKSBURG ARORA LLC</w:t>
      </w:r>
    </w:p>
    <w:p>
      <w:pPr>
        <w:spacing w:after="0" w:line="26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 BEAZER CLARKSBURG, LLC, its Sole Member</w:t>
      </w:r>
    </w:p>
    <w:p>
      <w:pPr>
        <w:spacing w:after="0" w:line="2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By: BEAZER HOMES, LLC, its Sole Member</w:t>
      </w:r>
    </w:p>
    <w:p>
      <w:pPr>
        <w:spacing w:after="0" w:line="200" w:lineRule="exact"/>
        <w:rPr>
          <w:sz w:val="20"/>
          <w:szCs w:val="20"/>
          <w:color w:val="auto"/>
        </w:rPr>
      </w:pPr>
    </w:p>
    <w:p>
      <w:pPr>
        <w:spacing w:after="0" w:line="36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By: /s/ David I.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40005</wp:posOffset>
            </wp:positionV>
            <wp:extent cx="24517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1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Name: David I. Goldberg</w:t>
      </w:r>
    </w:p>
    <w:p>
      <w:pPr>
        <w:spacing w:after="0" w:line="2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9"/>
          <w:szCs w:val="19"/>
          <w:color w:val="auto"/>
        </w:rPr>
        <w:t>Title: Senior Vice President and Chief Financial Officer</w:t>
      </w:r>
    </w:p>
    <w:p>
      <w:pPr>
        <w:spacing w:after="0" w:line="24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CLARKSBURG SKYLARK, LLC</w:t>
      </w:r>
    </w:p>
    <w:p>
      <w:pPr>
        <w:spacing w:after="0" w:line="24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 CLARKSBURG ARORA LLC, its Sole Member</w:t>
      </w:r>
    </w:p>
    <w:p>
      <w:pPr>
        <w:spacing w:after="0" w:line="25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 BEAZER CLARKSBURG, LLC, its Sole Member</w:t>
      </w:r>
    </w:p>
    <w:p>
      <w:pPr>
        <w:spacing w:after="0" w:line="2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By: BEAZER HOMES, LLC, its Sole Member</w:t>
      </w:r>
    </w:p>
    <w:p>
      <w:pPr>
        <w:spacing w:after="0" w:line="200" w:lineRule="exact"/>
        <w:rPr>
          <w:sz w:val="20"/>
          <w:szCs w:val="20"/>
          <w:color w:val="auto"/>
        </w:rPr>
      </w:pPr>
    </w:p>
    <w:p>
      <w:pPr>
        <w:spacing w:after="0" w:line="36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By: /s/ David I.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40005</wp:posOffset>
            </wp:positionV>
            <wp:extent cx="24517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2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Name: David I. Goldberg</w:t>
      </w:r>
    </w:p>
    <w:p>
      <w:pPr>
        <w:spacing w:after="0" w:line="2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9"/>
          <w:szCs w:val="19"/>
          <w:color w:val="auto"/>
        </w:rPr>
        <w:t>Title: Senior Vice President and Chief Financial Officer</w:t>
      </w:r>
    </w:p>
    <w:p>
      <w:pPr>
        <w:spacing w:after="0" w:line="25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BEAZER FUNDAMENTAL, LLC</w:t>
      </w:r>
    </w:p>
    <w:p>
      <w:pPr>
        <w:spacing w:after="0" w:line="3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 Beazer Homes Texas Holdings, Inc.</w:t>
      </w:r>
    </w:p>
    <w:p>
      <w:pPr>
        <w:spacing w:after="0" w:line="3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Its Sole and Managing Member</w:t>
      </w:r>
    </w:p>
    <w:p>
      <w:pPr>
        <w:spacing w:after="0" w:line="200" w:lineRule="exact"/>
        <w:rPr>
          <w:sz w:val="20"/>
          <w:szCs w:val="20"/>
          <w:color w:val="auto"/>
        </w:rPr>
      </w:pPr>
    </w:p>
    <w:p>
      <w:pPr>
        <w:spacing w:after="0" w:line="35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By: /s/ David I.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40005</wp:posOffset>
            </wp:positionV>
            <wp:extent cx="24517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2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Name: David I. Goldberg</w:t>
      </w:r>
    </w:p>
    <w:p>
      <w:pPr>
        <w:spacing w:after="0" w:line="2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Third Amendment]</w:t>
      </w:r>
    </w:p>
    <w:p>
      <w:pPr>
        <w:sectPr>
          <w:pgSz w:w="11900" w:h="16838" w:orient="portrait"/>
          <w:cols w:equalWidth="0" w:num="1">
            <w:col w:w="9019"/>
          </w:cols>
          <w:pgMar w:left="1440" w:top="1409" w:right="1440" w:bottom="1440" w:gutter="0" w:footer="0" w:header="0"/>
        </w:sectPr>
      </w:pPr>
    </w:p>
    <w:bookmarkStart w:id="13" w:name="page14"/>
    <w:bookmarkEnd w:id="13"/>
    <w:p>
      <w:pPr>
        <w:ind w:left="268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as the Administrative Agent, a Lender</w:t>
      </w:r>
    </w:p>
    <w:p>
      <w:pPr>
        <w:spacing w:after="0" w:line="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and an Issuing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By: /s/ Nadeige Dang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48260</wp:posOffset>
            </wp:positionV>
            <wp:extent cx="19888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Name: Nadeige Dang</w:t>
      </w:r>
    </w:p>
    <w:p>
      <w:pPr>
        <w:spacing w:after="0" w:line="6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Third Amendment]</w:t>
      </w:r>
    </w:p>
    <w:p>
      <w:pPr>
        <w:sectPr>
          <w:pgSz w:w="11900" w:h="16838" w:orient="portrait"/>
          <w:cols w:equalWidth="0" w:num="1">
            <w:col w:w="9019"/>
          </w:cols>
          <w:pgMar w:left="1440" w:top="1413" w:right="1440" w:bottom="1440" w:gutter="0" w:footer="0" w:header="0"/>
        </w:sectPr>
      </w:pPr>
    </w:p>
    <w:bookmarkStart w:id="14" w:name="page15"/>
    <w:bookmarkEnd w:id="14"/>
    <w:p>
      <w:pPr>
        <w:spacing w:after="0" w:line="21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ROYAL BANK OF CANADA,</w:t>
      </w:r>
    </w:p>
    <w:p>
      <w:pPr>
        <w:spacing w:after="0" w:line="2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as a Lender and an Issuing Lender</w:t>
      </w:r>
    </w:p>
    <w:p>
      <w:pPr>
        <w:spacing w:after="0" w:line="200" w:lineRule="exact"/>
        <w:rPr>
          <w:sz w:val="20"/>
          <w:szCs w:val="20"/>
          <w:color w:val="auto"/>
        </w:rPr>
      </w:pPr>
    </w:p>
    <w:p>
      <w:pPr>
        <w:spacing w:after="0" w:line="29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By: /s/ Brian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48260</wp:posOffset>
            </wp:positionV>
            <wp:extent cx="1903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Brian Gross</w:t>
      </w:r>
    </w:p>
    <w:p>
      <w:pPr>
        <w:spacing w:after="0" w:line="6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Third Amendment]</w:t>
      </w:r>
    </w:p>
    <w:p>
      <w:pPr>
        <w:sectPr>
          <w:pgSz w:w="11900" w:h="16838" w:orient="portrait"/>
          <w:cols w:equalWidth="0" w:num="1">
            <w:col w:w="9019"/>
          </w:cols>
          <w:pgMar w:left="1440" w:top="1440" w:right="1440" w:bottom="1440" w:gutter="0" w:footer="0" w:header="0"/>
        </w:sectPr>
      </w:pPr>
    </w:p>
    <w:bookmarkStart w:id="15" w:name="page16"/>
    <w:bookmarkEnd w:id="15"/>
    <w:p>
      <w:pPr>
        <w:ind w:left="2680"/>
        <w:spacing w:after="0"/>
        <w:rPr>
          <w:sz w:val="20"/>
          <w:szCs w:val="20"/>
          <w:color w:val="auto"/>
        </w:rPr>
      </w:pPr>
      <w:r>
        <w:rPr>
          <w:rFonts w:ascii="Times New Roman" w:cs="Times New Roman" w:eastAsia="Times New Roman" w:hAnsi="Times New Roman"/>
          <w:sz w:val="20"/>
          <w:szCs w:val="20"/>
          <w:color w:val="auto"/>
        </w:rPr>
        <w:t>TRUIST BANK,</w:t>
      </w:r>
    </w:p>
    <w:p>
      <w:pPr>
        <w:spacing w:after="0" w:line="2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as a Lender and an Issuing Lender</w:t>
      </w:r>
    </w:p>
    <w:p>
      <w:pPr>
        <w:spacing w:after="0" w:line="200" w:lineRule="exact"/>
        <w:rPr>
          <w:sz w:val="20"/>
          <w:szCs w:val="20"/>
          <w:color w:val="auto"/>
        </w:rPr>
      </w:pPr>
    </w:p>
    <w:p>
      <w:pPr>
        <w:spacing w:after="0" w:line="28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By: /s/ Ryan Almond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48260</wp:posOffset>
            </wp:positionV>
            <wp:extent cx="19030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Ryan Almond</w:t>
      </w:r>
    </w:p>
    <w:p>
      <w:pPr>
        <w:spacing w:after="0" w:line="6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Third Amendment]</w:t>
      </w:r>
    </w:p>
    <w:p>
      <w:pPr>
        <w:sectPr>
          <w:pgSz w:w="11900" w:h="16838" w:orient="portrait"/>
          <w:cols w:equalWidth="0" w:num="1">
            <w:col w:w="9019"/>
          </w:cols>
          <w:pgMar w:left="1440" w:top="1413" w:right="1440" w:bottom="1440" w:gutter="0" w:footer="0" w:header="0"/>
        </w:sectPr>
      </w:pPr>
    </w:p>
    <w:bookmarkStart w:id="16" w:name="page17"/>
    <w:bookmarkEnd w:id="16"/>
    <w:p>
      <w:pPr>
        <w:ind w:left="2680"/>
        <w:spacing w:after="0"/>
        <w:rPr>
          <w:sz w:val="20"/>
          <w:szCs w:val="20"/>
          <w:color w:val="auto"/>
        </w:rPr>
      </w:pPr>
      <w:r>
        <w:rPr>
          <w:rFonts w:ascii="Times New Roman" w:cs="Times New Roman" w:eastAsia="Times New Roman" w:hAnsi="Times New Roman"/>
          <w:sz w:val="20"/>
          <w:szCs w:val="20"/>
          <w:color w:val="auto"/>
        </w:rPr>
        <w:t>REGIONS BANK,</w:t>
      </w:r>
    </w:p>
    <w:p>
      <w:pPr>
        <w:spacing w:after="0" w:line="2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as a Lender and an Issuing Lender</w:t>
      </w:r>
    </w:p>
    <w:p>
      <w:pPr>
        <w:spacing w:after="0" w:line="200" w:lineRule="exact"/>
        <w:rPr>
          <w:sz w:val="20"/>
          <w:szCs w:val="20"/>
          <w:color w:val="auto"/>
        </w:rPr>
      </w:pPr>
    </w:p>
    <w:p>
      <w:pPr>
        <w:spacing w:after="0" w:line="28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By: /s/ Jason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48260</wp:posOffset>
            </wp:positionV>
            <wp:extent cx="19030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Jason Bell</w:t>
      </w:r>
    </w:p>
    <w:p>
      <w:pPr>
        <w:spacing w:after="0" w:line="6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Third Amendment]</w:t>
      </w:r>
    </w:p>
    <w:p>
      <w:pPr>
        <w:sectPr>
          <w:pgSz w:w="11900" w:h="16838" w:orient="portrait"/>
          <w:cols w:equalWidth="0" w:num="1">
            <w:col w:w="9019"/>
          </w:cols>
          <w:pgMar w:left="1440" w:top="1413" w:right="1440" w:bottom="1440" w:gutter="0" w:footer="0" w:header="0"/>
        </w:sectPr>
      </w:pPr>
    </w:p>
    <w:bookmarkStart w:id="17" w:name="page18"/>
    <w:bookmarkEnd w:id="17"/>
    <w:p>
      <w:pPr>
        <w:ind w:left="2680"/>
        <w:spacing w:after="0"/>
        <w:rPr>
          <w:sz w:val="20"/>
          <w:szCs w:val="20"/>
          <w:color w:val="auto"/>
        </w:rPr>
      </w:pPr>
      <w:r>
        <w:rPr>
          <w:rFonts w:ascii="Times New Roman" w:cs="Times New Roman" w:eastAsia="Times New Roman" w:hAnsi="Times New Roman"/>
          <w:sz w:val="20"/>
          <w:szCs w:val="20"/>
          <w:color w:val="auto"/>
        </w:rPr>
        <w:t>FLAGSTAR BANK,</w:t>
      </w:r>
    </w:p>
    <w:p>
      <w:pPr>
        <w:spacing w:after="0" w:line="2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8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By: /s/ Kirk Dyer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48260</wp:posOffset>
            </wp:positionV>
            <wp:extent cx="1903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Kirk Dyer</w:t>
      </w:r>
    </w:p>
    <w:p>
      <w:pPr>
        <w:spacing w:after="0" w:line="6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Third Amendment]</w:t>
      </w:r>
    </w:p>
    <w:p>
      <w:pPr>
        <w:sectPr>
          <w:pgSz w:w="11900" w:h="16838" w:orient="portrait"/>
          <w:cols w:equalWidth="0" w:num="1">
            <w:col w:w="9019"/>
          </w:cols>
          <w:pgMar w:left="1440" w:top="1413" w:right="1440" w:bottom="1440" w:gutter="0" w:footer="0" w:header="0"/>
        </w:sectPr>
      </w:pPr>
    </w:p>
    <w:bookmarkStart w:id="18" w:name="page19"/>
    <w:bookmarkEnd w:id="18"/>
    <w:p>
      <w:pPr>
        <w:ind w:left="2680"/>
        <w:spacing w:after="0"/>
        <w:rPr>
          <w:sz w:val="20"/>
          <w:szCs w:val="20"/>
          <w:color w:val="auto"/>
        </w:rPr>
      </w:pPr>
      <w:r>
        <w:rPr>
          <w:rFonts w:ascii="Times New Roman" w:cs="Times New Roman" w:eastAsia="Times New Roman" w:hAnsi="Times New Roman"/>
          <w:sz w:val="20"/>
          <w:szCs w:val="20"/>
          <w:color w:val="auto"/>
        </w:rPr>
        <w:t>TEXAS CAPITAL BANK,</w:t>
      </w:r>
    </w:p>
    <w:p>
      <w:pPr>
        <w:spacing w:after="0" w:line="2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8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By: /s/ Barbara Gremmer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48260</wp:posOffset>
            </wp:positionV>
            <wp:extent cx="1903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Barbara Gremmer</w:t>
      </w:r>
    </w:p>
    <w:p>
      <w:pPr>
        <w:spacing w:after="0" w:line="6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Third Amendment]</w:t>
      </w:r>
    </w:p>
    <w:p>
      <w:pPr>
        <w:sectPr>
          <w:pgSz w:w="11900" w:h="16838" w:orient="portrait"/>
          <w:cols w:equalWidth="0" w:num="1">
            <w:col w:w="9019"/>
          </w:cols>
          <w:pgMar w:left="1440" w:top="1413" w:right="1440" w:bottom="1440" w:gutter="0" w:footer="0" w:header="0"/>
        </w:sectPr>
      </w:pPr>
    </w:p>
    <w:bookmarkStart w:id="19" w:name="page20"/>
    <w:bookmarkEnd w:id="19"/>
    <w:p>
      <w:pPr>
        <w:ind w:left="268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8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By: /s/ Thomas W. Nowak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48260</wp:posOffset>
            </wp:positionV>
            <wp:extent cx="19030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Thomas W. Nowak</w:t>
      </w:r>
    </w:p>
    <w:p>
      <w:pPr>
        <w:spacing w:after="0" w:line="6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Third Amendment]</w:t>
      </w:r>
    </w:p>
    <w:p>
      <w:pPr>
        <w:sectPr>
          <w:pgSz w:w="11900" w:h="16838" w:orient="portrait"/>
          <w:cols w:equalWidth="0" w:num="1">
            <w:col w:w="9019"/>
          </w:cols>
          <w:pgMar w:left="1440" w:top="1413" w:right="1440"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BANCO SANTANDER, S.A., NEW YORK BRANCH,</w:t>
      </w:r>
    </w:p>
    <w:p>
      <w:pPr>
        <w:spacing w:after="0" w:line="4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8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By: /s/ D. Andrew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48260</wp:posOffset>
            </wp:positionV>
            <wp:extent cx="19030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D. Andrew Maletta</w:t>
      </w:r>
    </w:p>
    <w:p>
      <w:pPr>
        <w:spacing w:after="0" w:line="6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By: /s/ Ryan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48260</wp:posOffset>
            </wp:positionV>
            <wp:extent cx="19030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Ryan Peters</w:t>
      </w:r>
    </w:p>
    <w:p>
      <w:pPr>
        <w:spacing w:after="0" w:line="6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Third Amendment]</w:t>
      </w:r>
    </w:p>
    <w:p>
      <w:pPr>
        <w:sectPr>
          <w:pgSz w:w="11900" w:h="16838" w:orient="portrait"/>
          <w:cols w:equalWidth="0" w:num="1">
            <w:col w:w="9019"/>
          </w:cols>
          <w:pgMar w:left="1440" w:top="1440" w:right="1440" w:bottom="1440" w:gutter="0" w:footer="0" w:header="0"/>
        </w:sectPr>
      </w:pPr>
    </w:p>
    <w:bookmarkStart w:id="21" w:name="page22"/>
    <w:bookmarkEnd w:id="21"/>
    <w:p>
      <w:pPr>
        <w:ind w:left="2680"/>
        <w:spacing w:after="0"/>
        <w:rPr>
          <w:sz w:val="20"/>
          <w:szCs w:val="20"/>
          <w:color w:val="auto"/>
        </w:rPr>
      </w:pPr>
      <w:r>
        <w:rPr>
          <w:rFonts w:ascii="Times New Roman" w:cs="Times New Roman" w:eastAsia="Times New Roman" w:hAnsi="Times New Roman"/>
          <w:sz w:val="19"/>
          <w:szCs w:val="19"/>
          <w:color w:val="auto"/>
        </w:rPr>
        <w:t>THIRD COAST BANK, A TEXAS STATE BANK,</w:t>
      </w:r>
    </w:p>
    <w:p>
      <w:pPr>
        <w:spacing w:after="0" w:line="4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8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By: /s/ Tiffany Barfield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48260</wp:posOffset>
            </wp:positionV>
            <wp:extent cx="19030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Tiffany Barfield</w:t>
      </w:r>
    </w:p>
    <w:p>
      <w:pPr>
        <w:spacing w:after="0" w:line="6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Bank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Third Amendment]</w:t>
      </w:r>
    </w:p>
    <w:p>
      <w:pPr>
        <w:sectPr>
          <w:pgSz w:w="11900" w:h="16838" w:orient="portrait"/>
          <w:cols w:equalWidth="0" w:num="1">
            <w:col w:w="9019"/>
          </w:cols>
          <w:pgMar w:left="1440" w:top="1413" w:right="1440" w:bottom="1440" w:gutter="0" w:footer="0" w:header="0"/>
        </w:sectPr>
      </w:pPr>
    </w:p>
    <w:bookmarkStart w:id="22" w:name="page23"/>
    <w:bookmarkEnd w:id="22"/>
    <w:p>
      <w:pPr>
        <w:ind w:left="2680"/>
        <w:spacing w:after="0"/>
        <w:rPr>
          <w:sz w:val="20"/>
          <w:szCs w:val="20"/>
          <w:color w:val="auto"/>
        </w:rPr>
      </w:pPr>
      <w:r>
        <w:rPr>
          <w:rFonts w:ascii="Times New Roman" w:cs="Times New Roman" w:eastAsia="Times New Roman" w:hAnsi="Times New Roman"/>
          <w:sz w:val="20"/>
          <w:szCs w:val="20"/>
          <w:color w:val="auto"/>
        </w:rPr>
        <w:t>CITIZENS BANK, N.A.,</w:t>
      </w:r>
    </w:p>
    <w:p>
      <w:pPr>
        <w:spacing w:after="0" w:line="2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as a Lender and an Issuing Lender</w:t>
      </w:r>
    </w:p>
    <w:p>
      <w:pPr>
        <w:spacing w:after="0" w:line="200" w:lineRule="exact"/>
        <w:rPr>
          <w:sz w:val="20"/>
          <w:szCs w:val="20"/>
          <w:color w:val="auto"/>
        </w:rPr>
      </w:pPr>
    </w:p>
    <w:p>
      <w:pPr>
        <w:spacing w:after="0" w:line="28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By: /s/ Kenneth D. Stover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48260</wp:posOffset>
            </wp:positionV>
            <wp:extent cx="19030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7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Kenneth D. Stover</w:t>
      </w:r>
    </w:p>
    <w:p>
      <w:pPr>
        <w:spacing w:after="0" w:line="6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Third Amendment]</w:t>
      </w:r>
    </w:p>
    <w:p>
      <w:pPr>
        <w:sectPr>
          <w:pgSz w:w="11900" w:h="16838" w:orient="portrait"/>
          <w:cols w:equalWidth="0" w:num="1">
            <w:col w:w="9019"/>
          </w:cols>
          <w:pgMar w:left="1440" w:top="1413"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9"/>
          <w:szCs w:val="19"/>
          <w:b w:val="1"/>
          <w:bCs w:val="1"/>
          <w:color w:val="auto"/>
        </w:rPr>
        <w:t>SCHEDULE 1.1A</w:t>
      </w:r>
    </w:p>
    <w:p>
      <w:pPr>
        <w:spacing w:after="0" w:line="24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w:t>
      </w:r>
    </w:p>
    <w:p>
      <w:pPr>
        <w:sectPr>
          <w:pgSz w:w="11900" w:h="16838" w:orient="portrait"/>
          <w:cols w:equalWidth="0" w:num="1">
            <w:col w:w="9739"/>
          </w:cols>
          <w:pgMar w:left="720" w:top="114"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SCHEDULE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9"/>
          <w:szCs w:val="19"/>
          <w:b w:val="1"/>
          <w:bCs w:val="1"/>
          <w:color w:val="auto"/>
        </w:rPr>
        <w:t>SCHEDULE 3.1A</w:t>
      </w:r>
    </w:p>
    <w:p>
      <w:pPr>
        <w:spacing w:after="0" w:line="24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w:t>
      </w:r>
    </w:p>
    <w:p>
      <w:pPr>
        <w:sectPr>
          <w:pgSz w:w="11900" w:h="16838" w:orient="portrait"/>
          <w:cols w:equalWidth="0" w:num="1">
            <w:col w:w="9739"/>
          </w:cols>
          <w:pgMar w:left="720" w:top="114" w:right="1440"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u w:val="single" w:color="auto"/>
          <w:color w:val="auto"/>
        </w:rPr>
        <w:t>AMENDED CREDIT AGREEMENT</w:t>
      </w:r>
    </w:p>
    <w:p>
      <w:pPr>
        <w:spacing w:after="0" w:line="200" w:lineRule="exact"/>
        <w:rPr>
          <w:sz w:val="20"/>
          <w:szCs w:val="20"/>
          <w:color w:val="auto"/>
        </w:rPr>
      </w:pPr>
    </w:p>
    <w:p>
      <w:pPr>
        <w:spacing w:after="0" w:line="24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See attached.</w:t>
      </w:r>
    </w:p>
    <w:p>
      <w:pPr>
        <w:sectPr>
          <w:pgSz w:w="11900" w:h="16838" w:orient="portrait"/>
          <w:cols w:equalWidth="0" w:num="1">
            <w:col w:w="10120"/>
          </w:cols>
          <w:pgMar w:left="1440" w:top="114"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Certain information contained in this document has been omitted because it is both (i) not material and (ii) is the type that the registrant treats as private or confidential. Omitted portions are marked with “[***]” in this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265,000,000</w:t>
      </w:r>
      <w:r>
        <w:rPr>
          <w:rFonts w:ascii="Times New Roman" w:cs="Times New Roman" w:eastAsia="Times New Roman" w:hAnsi="Times New Roman"/>
          <w:sz w:val="20"/>
          <w:szCs w:val="20"/>
          <w:u w:val="single" w:color="auto"/>
          <w:color w:val="0000FF"/>
        </w:rPr>
        <w:t>525,000,000</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CREDIT AGREEMENT</w:t>
      </w:r>
      <w:r>
        <w:rPr>
          <w:rFonts w:ascii="Arial" w:cs="Arial" w:eastAsia="Arial" w:hAnsi="Arial"/>
          <w:sz w:val="28"/>
          <w:szCs w:val="28"/>
          <w:u w:val="single" w:color="auto"/>
          <w:color w:val="0000FF"/>
          <w:vertAlign w:val="superscript"/>
        </w:rPr>
        <w:t>1</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among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BEAZER HOMES USA, INC., as Borrower,</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Several Lenders from Time to Time Parties Hereto,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0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as an Issuing Lender and Administrative Agent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October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u w:val="single" w:color="auto"/>
          <w:color w:val="0000FF"/>
        </w:rPr>
        <w:t>ROYAL BANK OF CANADA,</w:t>
      </w:r>
    </w:p>
    <w:p>
      <w:pPr>
        <w:spacing w:after="0" w:line="1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u w:val="single" w:color="auto"/>
          <w:color w:val="0000FF"/>
        </w:rPr>
        <w:t>TRUIST SECURITIES,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00FF"/>
        </w:rPr>
        <w:t>and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REGIONS CAPITAL MARKETS, a division of Regions Bank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0000"/>
          <w:strike w:val="1"/>
        </w:rPr>
        <w:t>and</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FF0000"/>
          <w:strike w:val="1"/>
        </w:rPr>
        <w:t>ROYAL BANK OF CANADA</w:t>
      </w:r>
      <w:r>
        <w:rPr>
          <w:rFonts w:ascii="Times New Roman" w:cs="Times New Roman" w:eastAsia="Times New Roman" w:hAnsi="Times New Roman"/>
          <w:sz w:val="20"/>
          <w:szCs w:val="20"/>
          <w:color w:val="000000"/>
        </w:rPr>
        <w: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0000"/>
          <w:strike w:val="1"/>
        </w:rPr>
        <w:t>REGIONS BANK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0000"/>
          <w:strike w:val="1"/>
        </w:rPr>
        <w:t>and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ROYAL BANK OF CANADA</w:t>
      </w:r>
      <w:r>
        <w:rPr>
          <w:rFonts w:ascii="Times New Roman" w:cs="Times New Roman" w:eastAsia="Times New Roman" w:hAnsi="Times New Roman"/>
          <w:sz w:val="20"/>
          <w:szCs w:val="20"/>
          <w:u w:val="single" w:color="auto"/>
          <w:color w:val="0000FF"/>
        </w:rPr>
        <w: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00FF"/>
        </w:rPr>
        <w:t>TRUIST BANK,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00FF"/>
        </w:rPr>
        <w:t>and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00FF"/>
        </w:rPr>
        <w:t>REGIONS BANK</w:t>
      </w:r>
      <w:r>
        <w:rPr>
          <w:rFonts w:ascii="Times New Roman" w:cs="Times New Roman" w:eastAsia="Times New Roman" w:hAnsi="Times New Roman"/>
          <w:sz w:val="20"/>
          <w:szCs w:val="20"/>
          <w:color w:val="000000"/>
        </w:rPr>
        <w: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2263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14" w:lineRule="exact"/>
        <w:rPr>
          <w:sz w:val="20"/>
          <w:szCs w:val="20"/>
          <w:color w:val="auto"/>
        </w:rPr>
      </w:pPr>
    </w:p>
    <w:p>
      <w:pPr>
        <w:ind w:left="120" w:hanging="112"/>
        <w:spacing w:after="0"/>
        <w:tabs>
          <w:tab w:leader="none" w:pos="120" w:val="left"/>
        </w:tabs>
        <w:numPr>
          <w:ilvl w:val="0"/>
          <w:numId w:val="11"/>
        </w:numPr>
        <w:rPr>
          <w:rFonts w:ascii="Arial" w:cs="Arial" w:eastAsia="Arial" w:hAnsi="Arial"/>
          <w:sz w:val="26"/>
          <w:szCs w:val="26"/>
          <w:color w:val="auto"/>
          <w:vertAlign w:val="superscript"/>
        </w:rPr>
      </w:pPr>
      <w:r>
        <w:rPr>
          <w:rFonts w:ascii="Times New Roman" w:cs="Times New Roman" w:eastAsia="Times New Roman" w:hAnsi="Times New Roman"/>
          <w:sz w:val="20"/>
          <w:szCs w:val="20"/>
          <w:color w:val="auto"/>
        </w:rPr>
        <w:t xml:space="preserve">Conformed version reflects the </w:t>
      </w:r>
      <w:r>
        <w:rPr>
          <w:rFonts w:ascii="Times New Roman" w:cs="Times New Roman" w:eastAsia="Times New Roman" w:hAnsi="Times New Roman"/>
          <w:sz w:val="20"/>
          <w:szCs w:val="20"/>
          <w:color w:val="FF0000"/>
          <w:strike w:val="1"/>
        </w:rPr>
        <w:t>Second</w:t>
      </w:r>
      <w:r>
        <w:rPr>
          <w:rFonts w:ascii="Times New Roman" w:cs="Times New Roman" w:eastAsia="Times New Roman" w:hAnsi="Times New Roman"/>
          <w:sz w:val="20"/>
          <w:szCs w:val="20"/>
          <w:u w:val="single" w:color="auto"/>
          <w:color w:val="0000FF"/>
        </w:rPr>
        <w:t>Third</w:t>
      </w:r>
      <w:r>
        <w:rPr>
          <w:rFonts w:ascii="Times New Roman" w:cs="Times New Roman" w:eastAsia="Times New Roman" w:hAnsi="Times New Roman"/>
          <w:sz w:val="20"/>
          <w:szCs w:val="20"/>
          <w:color w:val="auto"/>
        </w:rPr>
        <w:t xml:space="preserve"> Amendment dated as of </w:t>
      </w:r>
      <w:r>
        <w:rPr>
          <w:rFonts w:ascii="Times New Roman" w:cs="Times New Roman" w:eastAsia="Times New Roman" w:hAnsi="Times New Roman"/>
          <w:sz w:val="20"/>
          <w:szCs w:val="20"/>
          <w:color w:val="FF0000"/>
          <w:strike w:val="1"/>
        </w:rPr>
        <w:t>January</w:t>
      </w:r>
      <w:r>
        <w:rPr>
          <w:rFonts w:ascii="Times New Roman" w:cs="Times New Roman" w:eastAsia="Times New Roman" w:hAnsi="Times New Roman"/>
          <w:sz w:val="20"/>
          <w:szCs w:val="20"/>
          <w:u w:val="single" w:color="auto"/>
          <w:color w:val="0000FF"/>
        </w:rPr>
        <w:t>March</w:t>
      </w:r>
      <w:r>
        <w:rPr>
          <w:rFonts w:ascii="Times New Roman" w:cs="Times New Roman" w:eastAsia="Times New Roman" w:hAnsi="Times New Roman"/>
          <w:sz w:val="20"/>
          <w:szCs w:val="20"/>
          <w:color w:val="auto"/>
        </w:rPr>
        <w:t xml:space="preserve"> 13, 2026.</w:t>
      </w:r>
    </w:p>
    <w:p>
      <w:pPr>
        <w:sectPr>
          <w:pgSz w:w="11900" w:h="16838" w:orient="portrait"/>
          <w:cols w:equalWidth="0" w:num="1">
            <w:col w:w="11240"/>
          </w:cols>
          <w:pgMar w:left="320" w:top="114"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TABLE OF CONTENTS</w:t>
            </w:r>
          </w:p>
        </w:tc>
      </w:tr>
      <w:tr>
        <w:trPr>
          <w:trHeight w:val="485"/>
        </w:trPr>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620" w:type="dxa"/>
            <w:vAlign w:val="bottom"/>
          </w:tcPr>
          <w:p>
            <w:pPr>
              <w:ind w:left="4240"/>
              <w:spacing w:after="0"/>
              <w:rPr>
                <w:sz w:val="20"/>
                <w:szCs w:val="20"/>
                <w:color w:val="auto"/>
              </w:rPr>
            </w:pPr>
            <w:r>
              <w:rPr>
                <w:rFonts w:ascii="Times New Roman" w:cs="Times New Roman" w:eastAsia="Times New Roman" w:hAnsi="Times New Roman"/>
                <w:sz w:val="20"/>
                <w:szCs w:val="20"/>
                <w:color w:val="auto"/>
                <w:w w:val="92"/>
              </w:rPr>
              <w:t>Page</w:t>
            </w:r>
          </w:p>
        </w:tc>
      </w:tr>
      <w:tr>
        <w:trPr>
          <w:trHeight w:val="430"/>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SECTION 1.</w:t>
            </w:r>
          </w:p>
        </w:tc>
        <w:tc>
          <w:tcPr>
            <w:tcW w:w="146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DEFINITIONS</w:t>
            </w:r>
          </w:p>
        </w:tc>
        <w:tc>
          <w:tcPr>
            <w:tcW w:w="56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w w:val="79"/>
              </w:rPr>
              <w:t>1</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29"/>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1.1.</w:t>
            </w:r>
          </w:p>
        </w:tc>
        <w:tc>
          <w:tcPr>
            <w:tcW w:w="140" w:type="dxa"/>
            <w:vAlign w:val="bottom"/>
          </w:tcPr>
          <w:p>
            <w:pPr>
              <w:spacing w:after="0"/>
              <w:rPr>
                <w:sz w:val="19"/>
                <w:szCs w:val="19"/>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Defined Terms</w:t>
            </w:r>
          </w:p>
        </w:tc>
        <w:tc>
          <w:tcPr>
            <w:tcW w:w="5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1.2.</w:t>
            </w:r>
          </w:p>
        </w:tc>
        <w:tc>
          <w:tcPr>
            <w:tcW w:w="140" w:type="dxa"/>
            <w:vAlign w:val="bottom"/>
          </w:tcPr>
          <w:p>
            <w:pPr>
              <w:spacing w:after="0"/>
              <w:rPr>
                <w:sz w:val="21"/>
                <w:szCs w:val="21"/>
                <w:color w:val="auto"/>
              </w:rPr>
            </w:pPr>
          </w:p>
        </w:tc>
        <w:tc>
          <w:tcPr>
            <w:tcW w:w="242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8"/>
              </w:rPr>
              <w:t>Other Definitional Provisions</w:t>
            </w:r>
          </w:p>
        </w:tc>
        <w:tc>
          <w:tcPr>
            <w:tcW w:w="5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34</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1.3.</w:t>
            </w:r>
          </w:p>
        </w:tc>
        <w:tc>
          <w:tcPr>
            <w:tcW w:w="140" w:type="dxa"/>
            <w:vAlign w:val="bottom"/>
          </w:tcPr>
          <w:p>
            <w:pPr>
              <w:spacing w:after="0"/>
              <w:rPr>
                <w:sz w:val="21"/>
                <w:szCs w:val="21"/>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GAAP</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34</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29"/>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1.4.</w:t>
            </w:r>
          </w:p>
        </w:tc>
        <w:tc>
          <w:tcPr>
            <w:tcW w:w="140" w:type="dxa"/>
            <w:vAlign w:val="bottom"/>
          </w:tcPr>
          <w:p>
            <w:pPr>
              <w:spacing w:after="0"/>
              <w:rPr>
                <w:sz w:val="19"/>
                <w:szCs w:val="19"/>
                <w:color w:val="auto"/>
              </w:rPr>
            </w:pPr>
          </w:p>
        </w:tc>
        <w:tc>
          <w:tcPr>
            <w:tcW w:w="326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Interest Rates; Benchmark Notification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58"/>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1.5.</w:t>
            </w:r>
          </w:p>
        </w:tc>
        <w:tc>
          <w:tcPr>
            <w:tcW w:w="140" w:type="dxa"/>
            <w:vAlign w:val="bottom"/>
          </w:tcPr>
          <w:p>
            <w:pPr>
              <w:spacing w:after="0"/>
              <w:rPr>
                <w:sz w:val="22"/>
                <w:szCs w:val="22"/>
                <w:color w:val="auto"/>
              </w:rPr>
            </w:pP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w w:val="98"/>
              </w:rPr>
              <w:t>Letter of Credit Amounts</w:t>
            </w:r>
          </w:p>
        </w:tc>
        <w:tc>
          <w:tcPr>
            <w:tcW w:w="900" w:type="dxa"/>
            <w:vAlign w:val="bottom"/>
            <w:gridSpan w:val="2"/>
          </w:tcPr>
          <w:p>
            <w:pPr>
              <w:jc w:val="right"/>
              <w:ind w:right="421"/>
              <w:spacing w:after="0"/>
              <w:rPr>
                <w:sz w:val="20"/>
                <w:szCs w:val="20"/>
                <w:color w:val="auto"/>
              </w:rPr>
            </w:pPr>
            <w:r>
              <w:rPr>
                <w:rFonts w:ascii="Times New Roman" w:cs="Times New Roman" w:eastAsia="Times New Roman" w:hAnsi="Times New Roman"/>
                <w:sz w:val="20"/>
                <w:szCs w:val="20"/>
                <w:color w:val="auto"/>
              </w:rPr>
              <w:t>35</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20" w:type="dxa"/>
            <w:vAlign w:val="bottom"/>
          </w:tcPr>
          <w:p>
            <w:pPr>
              <w:spacing w:after="0"/>
              <w:rPr>
                <w:sz w:val="22"/>
                <w:szCs w:val="22"/>
                <w:color w:val="auto"/>
              </w:rPr>
            </w:pPr>
          </w:p>
        </w:tc>
      </w:tr>
      <w:tr>
        <w:trPr>
          <w:trHeight w:val="430"/>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SECTION 2.</w:t>
            </w:r>
          </w:p>
        </w:tc>
        <w:tc>
          <w:tcPr>
            <w:tcW w:w="4460" w:type="dxa"/>
            <w:vAlign w:val="bottom"/>
            <w:gridSpan w:val="11"/>
          </w:tcPr>
          <w:p>
            <w:pPr>
              <w:ind w:left="40"/>
              <w:spacing w:after="0"/>
              <w:rPr>
                <w:sz w:val="20"/>
                <w:szCs w:val="20"/>
                <w:color w:val="auto"/>
              </w:rPr>
            </w:pPr>
            <w:r>
              <w:rPr>
                <w:rFonts w:ascii="Times New Roman" w:cs="Times New Roman" w:eastAsia="Times New Roman" w:hAnsi="Times New Roman"/>
                <w:sz w:val="20"/>
                <w:szCs w:val="20"/>
                <w:color w:val="auto"/>
              </w:rPr>
              <w:t>AMOUNT AND TERMS OF COMMITMENTS  35</w:t>
            </w:r>
          </w:p>
        </w:tc>
        <w:tc>
          <w:tcPr>
            <w:tcW w:w="9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2.1.</w:t>
            </w:r>
          </w:p>
        </w:tc>
        <w:tc>
          <w:tcPr>
            <w:tcW w:w="140" w:type="dxa"/>
            <w:vAlign w:val="bottom"/>
          </w:tcPr>
          <w:p>
            <w:pPr>
              <w:spacing w:after="0"/>
              <w:rPr>
                <w:sz w:val="21"/>
                <w:szCs w:val="21"/>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Commitments</w:t>
            </w:r>
          </w:p>
        </w:tc>
        <w:tc>
          <w:tcPr>
            <w:tcW w:w="5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35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2.2.</w:t>
            </w:r>
          </w:p>
        </w:tc>
        <w:tc>
          <w:tcPr>
            <w:tcW w:w="140" w:type="dxa"/>
            <w:vAlign w:val="bottom"/>
          </w:tcPr>
          <w:p>
            <w:pPr>
              <w:spacing w:after="0"/>
              <w:rPr>
                <w:sz w:val="21"/>
                <w:szCs w:val="21"/>
                <w:color w:val="auto"/>
              </w:rPr>
            </w:pPr>
          </w:p>
        </w:tc>
        <w:tc>
          <w:tcPr>
            <w:tcW w:w="356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rPr>
              <w:t>Procedure for Revolving Loan Borrowing</w:t>
            </w:r>
          </w:p>
        </w:tc>
        <w:tc>
          <w:tcPr>
            <w:tcW w:w="76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w w:val="99"/>
              </w:rPr>
              <w:t>35</w:t>
            </w: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29"/>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2.3.</w:t>
            </w:r>
          </w:p>
        </w:tc>
        <w:tc>
          <w:tcPr>
            <w:tcW w:w="14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36</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2.4.</w:t>
            </w:r>
          </w:p>
        </w:tc>
        <w:tc>
          <w:tcPr>
            <w:tcW w:w="14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36</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29"/>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2.5.</w:t>
            </w:r>
          </w:p>
        </w:tc>
        <w:tc>
          <w:tcPr>
            <w:tcW w:w="140" w:type="dxa"/>
            <w:vAlign w:val="bottom"/>
          </w:tcPr>
          <w:p>
            <w:pPr>
              <w:spacing w:after="0"/>
              <w:rPr>
                <w:sz w:val="19"/>
                <w:szCs w:val="19"/>
                <w:color w:val="auto"/>
              </w:rPr>
            </w:pP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Commitment Fees, etc.</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9"/>
              </w:rPr>
              <w:t>36</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2.6.</w:t>
            </w:r>
          </w:p>
        </w:tc>
        <w:tc>
          <w:tcPr>
            <w:tcW w:w="140" w:type="dxa"/>
            <w:vAlign w:val="bottom"/>
          </w:tcPr>
          <w:p>
            <w:pPr>
              <w:spacing w:after="0"/>
              <w:rPr>
                <w:sz w:val="21"/>
                <w:szCs w:val="21"/>
                <w:color w:val="auto"/>
              </w:rPr>
            </w:pPr>
          </w:p>
        </w:tc>
        <w:tc>
          <w:tcPr>
            <w:tcW w:w="356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rPr>
              <w:t>Termination or Reduction of Commitments</w:t>
            </w:r>
          </w:p>
        </w:tc>
        <w:tc>
          <w:tcPr>
            <w:tcW w:w="7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36</w:t>
            </w: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2.7.</w:t>
            </w:r>
          </w:p>
        </w:tc>
        <w:tc>
          <w:tcPr>
            <w:tcW w:w="140" w:type="dxa"/>
            <w:vAlign w:val="bottom"/>
          </w:tcPr>
          <w:p>
            <w:pPr>
              <w:spacing w:after="0"/>
              <w:rPr>
                <w:sz w:val="21"/>
                <w:szCs w:val="21"/>
                <w:color w:val="auto"/>
              </w:rPr>
            </w:pPr>
          </w:p>
        </w:tc>
        <w:tc>
          <w:tcPr>
            <w:tcW w:w="18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Optional Prepayments</w:t>
            </w:r>
          </w:p>
        </w:tc>
        <w:tc>
          <w:tcPr>
            <w:tcW w:w="54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36</w:t>
            </w: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30"/>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2.8.</w:t>
            </w:r>
          </w:p>
        </w:tc>
        <w:tc>
          <w:tcPr>
            <w:tcW w:w="140" w:type="dxa"/>
            <w:vAlign w:val="bottom"/>
          </w:tcPr>
          <w:p>
            <w:pPr>
              <w:spacing w:after="0"/>
              <w:rPr>
                <w:sz w:val="19"/>
                <w:szCs w:val="19"/>
                <w:color w:val="auto"/>
              </w:rPr>
            </w:pP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Mandatory Prepayments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2.9.</w:t>
            </w:r>
          </w:p>
        </w:tc>
        <w:tc>
          <w:tcPr>
            <w:tcW w:w="140" w:type="dxa"/>
            <w:vAlign w:val="bottom"/>
          </w:tcPr>
          <w:p>
            <w:pPr>
              <w:spacing w:after="0"/>
              <w:rPr>
                <w:sz w:val="21"/>
                <w:szCs w:val="21"/>
                <w:color w:val="auto"/>
              </w:rPr>
            </w:pPr>
          </w:p>
        </w:tc>
        <w:tc>
          <w:tcPr>
            <w:tcW w:w="326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Conversion and Continuation Options</w:t>
            </w:r>
          </w:p>
        </w:tc>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rPr>
              <w:t>37</w:t>
            </w: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30"/>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2.10.</w:t>
            </w:r>
          </w:p>
        </w:tc>
        <w:tc>
          <w:tcPr>
            <w:tcW w:w="208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w w:val="97"/>
              </w:rPr>
              <w:t>Limitations on Tranches</w:t>
            </w:r>
          </w:p>
        </w:tc>
        <w:tc>
          <w:tcPr>
            <w:tcW w:w="900" w:type="dxa"/>
            <w:vAlign w:val="bottom"/>
            <w:gridSpan w:val="2"/>
          </w:tcPr>
          <w:p>
            <w:pPr>
              <w:jc w:val="right"/>
              <w:ind w:right="401"/>
              <w:spacing w:after="0"/>
              <w:rPr>
                <w:sz w:val="20"/>
                <w:szCs w:val="20"/>
                <w:color w:val="auto"/>
              </w:rPr>
            </w:pPr>
            <w:r>
              <w:rPr>
                <w:rFonts w:ascii="Times New Roman" w:cs="Times New Roman" w:eastAsia="Times New Roman" w:hAnsi="Times New Roman"/>
                <w:sz w:val="20"/>
                <w:szCs w:val="20"/>
                <w:color w:val="auto"/>
              </w:rPr>
              <w:t>38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43"/>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2.11.</w:t>
            </w:r>
          </w:p>
        </w:tc>
        <w:tc>
          <w:tcPr>
            <w:tcW w:w="2980" w:type="dxa"/>
            <w:vAlign w:val="bottom"/>
            <w:gridSpan w:val="7"/>
          </w:tcPr>
          <w:p>
            <w:pPr>
              <w:ind w:left="140"/>
              <w:spacing w:after="0"/>
              <w:rPr>
                <w:sz w:val="20"/>
                <w:szCs w:val="20"/>
                <w:color w:val="auto"/>
              </w:rPr>
            </w:pPr>
            <w:r>
              <w:rPr>
                <w:rFonts w:ascii="Times New Roman" w:cs="Times New Roman" w:eastAsia="Times New Roman" w:hAnsi="Times New Roman"/>
                <w:sz w:val="20"/>
                <w:szCs w:val="20"/>
                <w:color w:val="auto"/>
              </w:rPr>
              <w:t>Interest Rates and Payment Dates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38</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30"/>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2.12.</w:t>
            </w:r>
          </w:p>
        </w:tc>
        <w:tc>
          <w:tcPr>
            <w:tcW w:w="298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Computation of Interest and Fees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38</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43"/>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2.13.</w:t>
            </w:r>
          </w:p>
        </w:tc>
        <w:tc>
          <w:tcPr>
            <w:tcW w:w="298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w w:val="98"/>
              </w:rPr>
              <w:t>Inability to Determine Interest Rate</w:t>
            </w:r>
          </w:p>
        </w:tc>
        <w:tc>
          <w:tcPr>
            <w:tcW w:w="58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39</w:t>
            </w: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2.14.</w:t>
            </w:r>
          </w:p>
        </w:tc>
        <w:tc>
          <w:tcPr>
            <w:tcW w:w="298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Pro Rata Treatment and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30"/>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2.15.</w:t>
            </w: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w w:val="98"/>
              </w:rPr>
              <w:t>Requirements of Law</w:t>
            </w:r>
          </w:p>
        </w:tc>
        <w:tc>
          <w:tcPr>
            <w:tcW w:w="54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42</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43"/>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2.16.</w:t>
            </w:r>
          </w:p>
        </w:tc>
        <w:tc>
          <w:tcPr>
            <w:tcW w:w="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Taxes</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30"/>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2.17.</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Indemnity</w:t>
            </w:r>
          </w:p>
        </w:tc>
        <w:tc>
          <w:tcPr>
            <w:tcW w:w="780" w:type="dxa"/>
            <w:vAlign w:val="bottom"/>
            <w:gridSpan w:val="2"/>
          </w:tcPr>
          <w:p>
            <w:pPr>
              <w:jc w:val="right"/>
              <w:ind w:right="421"/>
              <w:spacing w:after="0"/>
              <w:rPr>
                <w:sz w:val="20"/>
                <w:szCs w:val="20"/>
                <w:color w:val="auto"/>
              </w:rPr>
            </w:pPr>
            <w:r>
              <w:rPr>
                <w:rFonts w:ascii="Times New Roman" w:cs="Times New Roman" w:eastAsia="Times New Roman" w:hAnsi="Times New Roman"/>
                <w:sz w:val="20"/>
                <w:szCs w:val="20"/>
                <w:color w:val="auto"/>
              </w:rPr>
              <w:t>47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43"/>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2.18.</w:t>
            </w:r>
          </w:p>
        </w:tc>
        <w:tc>
          <w:tcPr>
            <w:tcW w:w="242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Change of Lending Office</w:t>
            </w:r>
          </w:p>
        </w:tc>
        <w:tc>
          <w:tcPr>
            <w:tcW w:w="56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89"/>
              </w:rPr>
              <w:t>48</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2.19.</w:t>
            </w:r>
          </w:p>
        </w:tc>
        <w:tc>
          <w:tcPr>
            <w:tcW w:w="208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w w:val="97"/>
              </w:rPr>
              <w:t>Replacement of Lenders</w:t>
            </w:r>
          </w:p>
        </w:tc>
        <w:tc>
          <w:tcPr>
            <w:tcW w:w="900" w:type="dxa"/>
            <w:vAlign w:val="bottom"/>
            <w:gridSpan w:val="2"/>
          </w:tcPr>
          <w:p>
            <w:pPr>
              <w:jc w:val="right"/>
              <w:ind w:right="401"/>
              <w:spacing w:after="0"/>
              <w:rPr>
                <w:sz w:val="20"/>
                <w:szCs w:val="20"/>
                <w:color w:val="auto"/>
              </w:rPr>
            </w:pPr>
            <w:r>
              <w:rPr>
                <w:rFonts w:ascii="Times New Roman" w:cs="Times New Roman" w:eastAsia="Times New Roman" w:hAnsi="Times New Roman"/>
                <w:sz w:val="20"/>
                <w:szCs w:val="20"/>
                <w:color w:val="auto"/>
              </w:rPr>
              <w:t>48</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30"/>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2.20.</w:t>
            </w: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Defaulting Lenders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48</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58"/>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2.21.</w:t>
            </w:r>
          </w:p>
        </w:tc>
        <w:tc>
          <w:tcPr>
            <w:tcW w:w="298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Increase in Commitments  51</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20" w:type="dxa"/>
            <w:vAlign w:val="bottom"/>
          </w:tcPr>
          <w:p>
            <w:pPr>
              <w:spacing w:after="0"/>
              <w:rPr>
                <w:sz w:val="22"/>
                <w:szCs w:val="22"/>
                <w:color w:val="auto"/>
              </w:rPr>
            </w:pPr>
          </w:p>
        </w:tc>
      </w:tr>
      <w:tr>
        <w:trPr>
          <w:trHeight w:val="430"/>
        </w:trPr>
        <w:tc>
          <w:tcPr>
            <w:tcW w:w="32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SECTION 3.  LETTERS OF CREDIT</w:t>
            </w:r>
          </w:p>
        </w:tc>
        <w:tc>
          <w:tcPr>
            <w:tcW w:w="54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52</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3.1.</w:t>
            </w:r>
          </w:p>
        </w:tc>
        <w:tc>
          <w:tcPr>
            <w:tcW w:w="140" w:type="dxa"/>
            <w:vAlign w:val="bottom"/>
          </w:tcPr>
          <w:p>
            <w:pPr>
              <w:spacing w:after="0"/>
              <w:rPr>
                <w:sz w:val="21"/>
                <w:szCs w:val="21"/>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General</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3.2.</w:t>
            </w:r>
          </w:p>
        </w:tc>
        <w:tc>
          <w:tcPr>
            <w:tcW w:w="140" w:type="dxa"/>
            <w:vAlign w:val="bottom"/>
          </w:tcPr>
          <w:p>
            <w:pPr>
              <w:spacing w:after="0"/>
              <w:rPr>
                <w:sz w:val="21"/>
                <w:szCs w:val="21"/>
                <w:color w:val="auto"/>
              </w:rPr>
            </w:pPr>
          </w:p>
        </w:tc>
        <w:tc>
          <w:tcPr>
            <w:tcW w:w="9880" w:type="dxa"/>
            <w:vAlign w:val="bottom"/>
            <w:gridSpan w:val="12"/>
          </w:tcPr>
          <w:p>
            <w:pPr>
              <w:ind w:left="60"/>
              <w:spacing w:after="0"/>
              <w:rPr>
                <w:sz w:val="20"/>
                <w:szCs w:val="20"/>
                <w:color w:val="auto"/>
              </w:rPr>
            </w:pPr>
            <w:r>
              <w:rPr>
                <w:rFonts w:ascii="Times New Roman" w:cs="Times New Roman" w:eastAsia="Times New Roman" w:hAnsi="Times New Roman"/>
                <w:sz w:val="20"/>
                <w:szCs w:val="20"/>
                <w:color w:val="auto"/>
              </w:rPr>
              <w:t>Notice of Issuance, Amendment, Extension; Certain Conditions  52</w:t>
            </w:r>
          </w:p>
        </w:tc>
      </w:tr>
      <w:tr>
        <w:trPr>
          <w:trHeight w:val="230"/>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3.3.</w:t>
            </w:r>
          </w:p>
        </w:tc>
        <w:tc>
          <w:tcPr>
            <w:tcW w:w="140" w:type="dxa"/>
            <w:vAlign w:val="bottom"/>
          </w:tcPr>
          <w:p>
            <w:pPr>
              <w:spacing w:after="0"/>
              <w:rPr>
                <w:sz w:val="19"/>
                <w:szCs w:val="19"/>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7"/>
              </w:rPr>
              <w:t>Expiration Date</w:t>
            </w:r>
          </w:p>
        </w:tc>
        <w:tc>
          <w:tcPr>
            <w:tcW w:w="5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52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3.4.</w:t>
            </w:r>
          </w:p>
        </w:tc>
        <w:tc>
          <w:tcPr>
            <w:tcW w:w="140" w:type="dxa"/>
            <w:vAlign w:val="bottom"/>
          </w:tcPr>
          <w:p>
            <w:pPr>
              <w:spacing w:after="0"/>
              <w:rPr>
                <w:sz w:val="21"/>
                <w:szCs w:val="21"/>
                <w:color w:val="auto"/>
              </w:rPr>
            </w:pP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Fees and Other Charges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29"/>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3.5.</w:t>
            </w:r>
          </w:p>
        </w:tc>
        <w:tc>
          <w:tcPr>
            <w:tcW w:w="140" w:type="dxa"/>
            <w:vAlign w:val="bottom"/>
          </w:tcPr>
          <w:p>
            <w:pPr>
              <w:spacing w:after="0"/>
              <w:rPr>
                <w:sz w:val="19"/>
                <w:szCs w:val="19"/>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Participations</w:t>
            </w:r>
          </w:p>
        </w:tc>
        <w:tc>
          <w:tcPr>
            <w:tcW w:w="5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53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3.6.</w:t>
            </w:r>
          </w:p>
        </w:tc>
        <w:tc>
          <w:tcPr>
            <w:tcW w:w="140" w:type="dxa"/>
            <w:vAlign w:val="bottom"/>
          </w:tcPr>
          <w:p>
            <w:pPr>
              <w:spacing w:after="0"/>
              <w:rPr>
                <w:sz w:val="21"/>
                <w:szCs w:val="21"/>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7"/>
              </w:rPr>
              <w:t>Reimbursement</w:t>
            </w:r>
          </w:p>
        </w:tc>
        <w:tc>
          <w:tcPr>
            <w:tcW w:w="5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53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3.7.</w:t>
            </w:r>
          </w:p>
        </w:tc>
        <w:tc>
          <w:tcPr>
            <w:tcW w:w="140" w:type="dxa"/>
            <w:vAlign w:val="bottom"/>
          </w:tcPr>
          <w:p>
            <w:pPr>
              <w:spacing w:after="0"/>
              <w:rPr>
                <w:sz w:val="21"/>
                <w:szCs w:val="21"/>
                <w:color w:val="auto"/>
              </w:rPr>
            </w:pPr>
          </w:p>
        </w:tc>
        <w:tc>
          <w:tcPr>
            <w:tcW w:w="18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Obligations Absolute</w:t>
            </w:r>
          </w:p>
        </w:tc>
        <w:tc>
          <w:tcPr>
            <w:tcW w:w="54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54</w:t>
            </w: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30"/>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3.8.</w:t>
            </w:r>
          </w:p>
        </w:tc>
        <w:tc>
          <w:tcPr>
            <w:tcW w:w="140" w:type="dxa"/>
            <w:vAlign w:val="bottom"/>
          </w:tcPr>
          <w:p>
            <w:pPr>
              <w:spacing w:after="0"/>
              <w:rPr>
                <w:sz w:val="19"/>
                <w:szCs w:val="19"/>
                <w:color w:val="auto"/>
              </w:rPr>
            </w:pP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w w:val="97"/>
              </w:rPr>
              <w:t>Disbursement Procedures</w:t>
            </w:r>
          </w:p>
        </w:tc>
        <w:tc>
          <w:tcPr>
            <w:tcW w:w="900" w:type="dxa"/>
            <w:vAlign w:val="bottom"/>
            <w:gridSpan w:val="2"/>
          </w:tcPr>
          <w:p>
            <w:pPr>
              <w:jc w:val="right"/>
              <w:ind w:right="401"/>
              <w:spacing w:after="0"/>
              <w:rPr>
                <w:sz w:val="20"/>
                <w:szCs w:val="20"/>
                <w:color w:val="auto"/>
              </w:rPr>
            </w:pPr>
            <w:r>
              <w:rPr>
                <w:rFonts w:ascii="Times New Roman" w:cs="Times New Roman" w:eastAsia="Times New Roman" w:hAnsi="Times New Roman"/>
                <w:sz w:val="20"/>
                <w:szCs w:val="20"/>
                <w:color w:val="auto"/>
              </w:rPr>
              <w:t>54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3.9.</w:t>
            </w:r>
          </w:p>
        </w:tc>
        <w:tc>
          <w:tcPr>
            <w:tcW w:w="140" w:type="dxa"/>
            <w:vAlign w:val="bottom"/>
          </w:tcPr>
          <w:p>
            <w:pPr>
              <w:spacing w:after="0"/>
              <w:rPr>
                <w:sz w:val="21"/>
                <w:szCs w:val="21"/>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Interim Interest</w:t>
            </w:r>
          </w:p>
        </w:tc>
        <w:tc>
          <w:tcPr>
            <w:tcW w:w="5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54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30"/>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3.10.</w:t>
            </w:r>
          </w:p>
        </w:tc>
        <w:tc>
          <w:tcPr>
            <w:tcW w:w="432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auto"/>
              </w:rPr>
              <w:t>Replacement and Resignation of an Issuing Lender</w:t>
            </w:r>
          </w:p>
        </w:tc>
        <w:tc>
          <w:tcPr>
            <w:tcW w:w="940" w:type="dxa"/>
            <w:vAlign w:val="bottom"/>
          </w:tcPr>
          <w:p>
            <w:pPr>
              <w:jc w:val="right"/>
              <w:ind w:right="561"/>
              <w:spacing w:after="0"/>
              <w:rPr>
                <w:sz w:val="20"/>
                <w:szCs w:val="20"/>
                <w:color w:val="auto"/>
              </w:rPr>
            </w:pPr>
            <w:r>
              <w:rPr>
                <w:rFonts w:ascii="Times New Roman" w:cs="Times New Roman" w:eastAsia="Times New Roman" w:hAnsi="Times New Roman"/>
                <w:sz w:val="20"/>
                <w:szCs w:val="20"/>
                <w:color w:val="auto"/>
              </w:rPr>
              <w:t>55</w:t>
            </w:r>
          </w:p>
        </w:tc>
        <w:tc>
          <w:tcPr>
            <w:tcW w:w="4620" w:type="dxa"/>
            <w:vAlign w:val="bottom"/>
          </w:tcPr>
          <w:p>
            <w:pPr>
              <w:spacing w:after="0"/>
              <w:rPr>
                <w:sz w:val="19"/>
                <w:szCs w:val="19"/>
                <w:color w:val="auto"/>
              </w:rPr>
            </w:pPr>
          </w:p>
        </w:tc>
      </w:tr>
      <w:tr>
        <w:trPr>
          <w:trHeight w:val="243"/>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3.11.</w:t>
            </w:r>
          </w:p>
        </w:tc>
        <w:tc>
          <w:tcPr>
            <w:tcW w:w="208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Cash Collateralization</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55</w:t>
            </w: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58"/>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3.12.</w:t>
            </w:r>
          </w:p>
        </w:tc>
        <w:tc>
          <w:tcPr>
            <w:tcW w:w="432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auto"/>
              </w:rPr>
              <w:t>Letters of Credit Issued for Account of Subsidiaries</w:t>
            </w:r>
          </w:p>
        </w:tc>
        <w:tc>
          <w:tcPr>
            <w:tcW w:w="940" w:type="dxa"/>
            <w:vAlign w:val="bottom"/>
          </w:tcPr>
          <w:p>
            <w:pPr>
              <w:jc w:val="right"/>
              <w:ind w:right="521"/>
              <w:spacing w:after="0"/>
              <w:rPr>
                <w:sz w:val="20"/>
                <w:szCs w:val="20"/>
                <w:color w:val="auto"/>
              </w:rPr>
            </w:pPr>
            <w:r>
              <w:rPr>
                <w:rFonts w:ascii="Times New Roman" w:cs="Times New Roman" w:eastAsia="Times New Roman" w:hAnsi="Times New Roman"/>
                <w:sz w:val="20"/>
                <w:szCs w:val="20"/>
                <w:color w:val="auto"/>
              </w:rPr>
              <w:t>56</w:t>
            </w:r>
          </w:p>
        </w:tc>
        <w:tc>
          <w:tcPr>
            <w:tcW w:w="4620" w:type="dxa"/>
            <w:vAlign w:val="bottom"/>
          </w:tcPr>
          <w:p>
            <w:pPr>
              <w:spacing w:after="0"/>
              <w:rPr>
                <w:sz w:val="22"/>
                <w:szCs w:val="22"/>
                <w:color w:val="auto"/>
              </w:rPr>
            </w:pPr>
          </w:p>
        </w:tc>
      </w:tr>
      <w:tr>
        <w:trPr>
          <w:trHeight w:val="459"/>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SECTION 4.</w:t>
            </w:r>
          </w:p>
        </w:tc>
        <w:tc>
          <w:tcPr>
            <w:tcW w:w="3700" w:type="dxa"/>
            <w:vAlign w:val="bottom"/>
            <w:gridSpan w:val="10"/>
          </w:tcPr>
          <w:p>
            <w:pPr>
              <w:ind w:left="40"/>
              <w:spacing w:after="0"/>
              <w:rPr>
                <w:sz w:val="20"/>
                <w:szCs w:val="20"/>
                <w:color w:val="auto"/>
              </w:rPr>
            </w:pPr>
            <w:r>
              <w:rPr>
                <w:rFonts w:ascii="Times New Roman" w:cs="Times New Roman" w:eastAsia="Times New Roman" w:hAnsi="Times New Roman"/>
                <w:sz w:val="20"/>
                <w:szCs w:val="20"/>
                <w:color w:val="auto"/>
                <w:w w:val="98"/>
              </w:rPr>
              <w:t>REPRESENTATIONS AND WARRANTIES</w:t>
            </w:r>
          </w:p>
        </w:tc>
        <w:tc>
          <w:tcPr>
            <w:tcW w:w="76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56</w:t>
            </w:r>
          </w:p>
        </w:tc>
        <w:tc>
          <w:tcPr>
            <w:tcW w:w="94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40"/>
          </w:cols>
          <w:pgMar w:left="320" w:top="1395"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4.1.</w:t>
            </w:r>
          </w:p>
        </w:tc>
        <w:tc>
          <w:tcPr>
            <w:tcW w:w="140" w:type="dxa"/>
            <w:vAlign w:val="bottom"/>
          </w:tcPr>
          <w:p>
            <w:pPr>
              <w:spacing w:after="0"/>
              <w:rPr>
                <w:sz w:val="21"/>
                <w:szCs w:val="21"/>
                <w:color w:val="auto"/>
              </w:rPr>
            </w:pPr>
          </w:p>
        </w:tc>
        <w:tc>
          <w:tcPr>
            <w:tcW w:w="184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Financial Statement</w:t>
            </w:r>
          </w:p>
        </w:tc>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56</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4.2.</w:t>
            </w:r>
          </w:p>
        </w:tc>
        <w:tc>
          <w:tcPr>
            <w:tcW w:w="140" w:type="dxa"/>
            <w:vAlign w:val="bottom"/>
          </w:tcPr>
          <w:p>
            <w:pPr>
              <w:spacing w:after="0"/>
              <w:rPr>
                <w:sz w:val="19"/>
                <w:szCs w:val="19"/>
                <w:color w:val="auto"/>
              </w:rPr>
            </w:pPr>
          </w:p>
        </w:tc>
        <w:tc>
          <w:tcPr>
            <w:tcW w:w="252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No Material Adverse Change</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4.3.</w:t>
            </w:r>
          </w:p>
        </w:tc>
        <w:tc>
          <w:tcPr>
            <w:tcW w:w="140" w:type="dxa"/>
            <w:vAlign w:val="bottom"/>
          </w:tcPr>
          <w:p>
            <w:pPr>
              <w:spacing w:after="0"/>
              <w:rPr>
                <w:sz w:val="21"/>
                <w:szCs w:val="21"/>
                <w:color w:val="auto"/>
              </w:rPr>
            </w:pPr>
          </w:p>
        </w:tc>
        <w:tc>
          <w:tcPr>
            <w:tcW w:w="328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w w:val="98"/>
              </w:rPr>
              <w:t>Organization, Powers, and Capital Stock</w:t>
            </w:r>
          </w:p>
        </w:tc>
        <w:tc>
          <w:tcPr>
            <w:tcW w:w="74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56</w:t>
            </w:r>
          </w:p>
        </w:tc>
        <w:tc>
          <w:tcPr>
            <w:tcW w:w="1280" w:type="dxa"/>
            <w:vAlign w:val="bottom"/>
          </w:tcPr>
          <w:p>
            <w:pPr>
              <w:spacing w:after="0"/>
              <w:rPr>
                <w:sz w:val="21"/>
                <w:szCs w:val="21"/>
                <w:color w:val="auto"/>
              </w:rPr>
            </w:pPr>
          </w:p>
        </w:tc>
      </w:tr>
      <w:tr>
        <w:trPr>
          <w:trHeight w:val="230"/>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4.4.</w:t>
            </w:r>
          </w:p>
        </w:tc>
        <w:tc>
          <w:tcPr>
            <w:tcW w:w="140" w:type="dxa"/>
            <w:vAlign w:val="bottom"/>
          </w:tcPr>
          <w:p>
            <w:pPr>
              <w:spacing w:after="0"/>
              <w:rPr>
                <w:sz w:val="19"/>
                <w:szCs w:val="19"/>
                <w:color w:val="auto"/>
              </w:rPr>
            </w:pPr>
          </w:p>
        </w:tc>
        <w:tc>
          <w:tcPr>
            <w:tcW w:w="5300" w:type="dxa"/>
            <w:vAlign w:val="bottom"/>
            <w:gridSpan w:val="11"/>
          </w:tcPr>
          <w:p>
            <w:pPr>
              <w:ind w:left="60"/>
              <w:spacing w:after="0"/>
              <w:rPr>
                <w:sz w:val="20"/>
                <w:szCs w:val="20"/>
                <w:color w:val="auto"/>
              </w:rPr>
            </w:pPr>
            <w:r>
              <w:rPr>
                <w:rFonts w:ascii="Times New Roman" w:cs="Times New Roman" w:eastAsia="Times New Roman" w:hAnsi="Times New Roman"/>
                <w:sz w:val="20"/>
                <w:szCs w:val="20"/>
                <w:color w:val="auto"/>
                <w:w w:val="99"/>
              </w:rPr>
              <w:t>Authorization; and Validity of this Agreement; Consents; etc.  56</w:t>
            </w: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4.5.</w:t>
            </w:r>
          </w:p>
        </w:tc>
        <w:tc>
          <w:tcPr>
            <w:tcW w:w="140" w:type="dxa"/>
            <w:vAlign w:val="bottom"/>
          </w:tcPr>
          <w:p>
            <w:pPr>
              <w:spacing w:after="0"/>
              <w:rPr>
                <w:sz w:val="21"/>
                <w:szCs w:val="21"/>
                <w:color w:val="auto"/>
              </w:rPr>
            </w:pPr>
          </w:p>
        </w:tc>
        <w:tc>
          <w:tcPr>
            <w:tcW w:w="402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rPr>
              <w:t>Compliance with Laws and Other Requirements</w:t>
            </w:r>
          </w:p>
        </w:tc>
        <w:tc>
          <w:tcPr>
            <w:tcW w:w="1280" w:type="dxa"/>
            <w:vAlign w:val="bottom"/>
          </w:tcPr>
          <w:p>
            <w:pPr>
              <w:jc w:val="right"/>
              <w:ind w:right="921"/>
              <w:spacing w:after="0"/>
              <w:rPr>
                <w:sz w:val="20"/>
                <w:szCs w:val="20"/>
                <w:color w:val="auto"/>
              </w:rPr>
            </w:pPr>
            <w:r>
              <w:rPr>
                <w:rFonts w:ascii="Times New Roman" w:cs="Times New Roman" w:eastAsia="Times New Roman" w:hAnsi="Times New Roman"/>
                <w:sz w:val="20"/>
                <w:szCs w:val="20"/>
                <w:color w:val="auto"/>
              </w:rPr>
              <w:t>57</w:t>
            </w: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4.6.</w:t>
            </w:r>
          </w:p>
        </w:tc>
        <w:tc>
          <w:tcPr>
            <w:tcW w:w="140" w:type="dxa"/>
            <w:vAlign w:val="bottom"/>
          </w:tcPr>
          <w:p>
            <w:pPr>
              <w:spacing w:after="0"/>
              <w:rPr>
                <w:sz w:val="21"/>
                <w:szCs w:val="21"/>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6"/>
              </w:rPr>
              <w:t>Litigation</w:t>
            </w:r>
          </w:p>
        </w:tc>
        <w:tc>
          <w:tcPr>
            <w:tcW w:w="66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58</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9"/>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4.7.</w:t>
            </w:r>
          </w:p>
        </w:tc>
        <w:tc>
          <w:tcPr>
            <w:tcW w:w="14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No Default</w:t>
            </w:r>
          </w:p>
        </w:tc>
        <w:tc>
          <w:tcPr>
            <w:tcW w:w="4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4.8.</w:t>
            </w:r>
          </w:p>
        </w:tc>
        <w:tc>
          <w:tcPr>
            <w:tcW w:w="140" w:type="dxa"/>
            <w:vAlign w:val="bottom"/>
          </w:tcPr>
          <w:p>
            <w:pPr>
              <w:spacing w:after="0"/>
              <w:rPr>
                <w:sz w:val="21"/>
                <w:szCs w:val="21"/>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8"/>
              </w:rPr>
              <w:t>Title to Properties</w:t>
            </w:r>
          </w:p>
        </w:tc>
        <w:tc>
          <w:tcPr>
            <w:tcW w:w="66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58</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9"/>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4.9.</w:t>
            </w:r>
          </w:p>
        </w:tc>
        <w:tc>
          <w:tcPr>
            <w:tcW w:w="14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7"/>
              </w:rPr>
              <w:t>Tax Liability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4.10.</w:t>
            </w:r>
          </w:p>
        </w:tc>
        <w:tc>
          <w:tcPr>
            <w:tcW w:w="402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auto"/>
                <w:w w:val="99"/>
              </w:rPr>
              <w:t>Regulations U and X; Investment Company Act</w:t>
            </w:r>
          </w:p>
        </w:tc>
        <w:tc>
          <w:tcPr>
            <w:tcW w:w="1280" w:type="dxa"/>
            <w:vAlign w:val="bottom"/>
          </w:tcPr>
          <w:p>
            <w:pPr>
              <w:jc w:val="right"/>
              <w:ind w:right="841"/>
              <w:spacing w:after="0"/>
              <w:rPr>
                <w:sz w:val="20"/>
                <w:szCs w:val="20"/>
                <w:color w:val="auto"/>
              </w:rPr>
            </w:pPr>
            <w:r>
              <w:rPr>
                <w:rFonts w:ascii="Times New Roman" w:cs="Times New Roman" w:eastAsia="Times New Roman" w:hAnsi="Times New Roman"/>
                <w:sz w:val="20"/>
                <w:szCs w:val="20"/>
                <w:color w:val="auto"/>
              </w:rPr>
              <w:t>58</w:t>
            </w:r>
          </w:p>
        </w:tc>
      </w:tr>
      <w:tr>
        <w:trPr>
          <w:trHeight w:val="243"/>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4.11.</w:t>
            </w:r>
          </w:p>
        </w:tc>
        <w:tc>
          <w:tcPr>
            <w:tcW w:w="184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ERISA Compliance</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4.12.</w:t>
            </w:r>
          </w:p>
        </w:tc>
        <w:tc>
          <w:tcPr>
            <w:tcW w:w="252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Subsidiaries; Joint Ventures</w:t>
            </w:r>
          </w:p>
        </w:tc>
        <w:tc>
          <w:tcPr>
            <w:tcW w:w="3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59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4.13.</w:t>
            </w:r>
          </w:p>
        </w:tc>
        <w:tc>
          <w:tcPr>
            <w:tcW w:w="252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Environmental Compliance</w:t>
            </w:r>
          </w:p>
        </w:tc>
        <w:tc>
          <w:tcPr>
            <w:tcW w:w="3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60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4.14.</w:t>
            </w:r>
          </w:p>
        </w:tc>
        <w:tc>
          <w:tcPr>
            <w:tcW w:w="252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No Misrepresentation  60</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4.15.</w:t>
            </w:r>
          </w:p>
        </w:tc>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Solvent</w:t>
            </w:r>
          </w:p>
        </w:tc>
        <w:tc>
          <w:tcPr>
            <w:tcW w:w="66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60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4.16.</w:t>
            </w:r>
          </w:p>
        </w:tc>
        <w:tc>
          <w:tcPr>
            <w:tcW w:w="328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auto"/>
                <w:w w:val="99"/>
              </w:rPr>
              <w:t>Foreign Direct Investment Regulations</w:t>
            </w:r>
          </w:p>
        </w:tc>
        <w:tc>
          <w:tcPr>
            <w:tcW w:w="7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60</w:t>
            </w:r>
          </w:p>
        </w:tc>
        <w:tc>
          <w:tcPr>
            <w:tcW w:w="1280" w:type="dxa"/>
            <w:vAlign w:val="bottom"/>
          </w:tcPr>
          <w:p>
            <w:pPr>
              <w:spacing w:after="0"/>
              <w:rPr>
                <w:sz w:val="21"/>
                <w:szCs w:val="21"/>
                <w:color w:val="auto"/>
              </w:rPr>
            </w:pPr>
          </w:p>
        </w:tc>
      </w:tr>
      <w:tr>
        <w:trPr>
          <w:trHeight w:val="229"/>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4.17.</w:t>
            </w:r>
          </w:p>
        </w:tc>
        <w:tc>
          <w:tcPr>
            <w:tcW w:w="290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Relationship of the Loan Parties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60</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4.18.</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Insurance</w:t>
            </w:r>
          </w:p>
        </w:tc>
        <w:tc>
          <w:tcPr>
            <w:tcW w:w="4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60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9"/>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4.19.</w:t>
            </w:r>
          </w:p>
        </w:tc>
        <w:tc>
          <w:tcPr>
            <w:tcW w:w="310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rPr>
              <w:t>Foreign Asset Control Regulations</w:t>
            </w:r>
          </w:p>
        </w:tc>
        <w:tc>
          <w:tcPr>
            <w:tcW w:w="920" w:type="dxa"/>
            <w:vAlign w:val="bottom"/>
            <w:gridSpan w:val="2"/>
          </w:tcPr>
          <w:p>
            <w:pPr>
              <w:jc w:val="right"/>
              <w:ind w:right="621"/>
              <w:spacing w:after="0"/>
              <w:rPr>
                <w:sz w:val="20"/>
                <w:szCs w:val="20"/>
                <w:color w:val="auto"/>
              </w:rPr>
            </w:pPr>
            <w:r>
              <w:rPr>
                <w:rFonts w:ascii="Times New Roman" w:cs="Times New Roman" w:eastAsia="Times New Roman" w:hAnsi="Times New Roman"/>
                <w:sz w:val="20"/>
                <w:szCs w:val="20"/>
                <w:color w:val="auto"/>
                <w:w w:val="89"/>
              </w:rPr>
              <w:t>60</w:t>
            </w:r>
          </w:p>
        </w:tc>
        <w:tc>
          <w:tcPr>
            <w:tcW w:w="1280" w:type="dxa"/>
            <w:vAlign w:val="bottom"/>
          </w:tcPr>
          <w:p>
            <w:pPr>
              <w:spacing w:after="0"/>
              <w:rPr>
                <w:sz w:val="19"/>
                <w:szCs w:val="19"/>
                <w:color w:val="auto"/>
              </w:rPr>
            </w:pPr>
          </w:p>
        </w:tc>
      </w:tr>
      <w:tr>
        <w:trPr>
          <w:trHeight w:val="243"/>
        </w:trPr>
        <w:tc>
          <w:tcPr>
            <w:tcW w:w="5380" w:type="dxa"/>
            <w:vAlign w:val="bottom"/>
            <w:gridSpan w:val="12"/>
          </w:tcPr>
          <w:p>
            <w:pPr>
              <w:ind w:left="900"/>
              <w:spacing w:after="0"/>
              <w:rPr>
                <w:sz w:val="20"/>
                <w:szCs w:val="20"/>
                <w:color w:val="auto"/>
              </w:rPr>
            </w:pPr>
            <w:r>
              <w:rPr>
                <w:rFonts w:ascii="Times New Roman" w:cs="Times New Roman" w:eastAsia="Times New Roman" w:hAnsi="Times New Roman"/>
                <w:sz w:val="20"/>
                <w:szCs w:val="20"/>
                <w:color w:val="auto"/>
              </w:rPr>
              <w:t>4.20.  Intellectual Property; Licenses, Etc.  61</w:t>
            </w:r>
          </w:p>
        </w:tc>
        <w:tc>
          <w:tcPr>
            <w:tcW w:w="1280" w:type="dxa"/>
            <w:vAlign w:val="bottom"/>
          </w:tcPr>
          <w:p>
            <w:pPr>
              <w:spacing w:after="0"/>
              <w:rPr>
                <w:sz w:val="21"/>
                <w:szCs w:val="21"/>
                <w:color w:val="auto"/>
              </w:rPr>
            </w:pPr>
          </w:p>
        </w:tc>
      </w:tr>
      <w:tr>
        <w:trPr>
          <w:trHeight w:val="229"/>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4.21.</w:t>
            </w:r>
          </w:p>
        </w:tc>
        <w:tc>
          <w:tcPr>
            <w:tcW w:w="184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Subordinated Debt</w:t>
            </w:r>
          </w:p>
        </w:tc>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61</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4.22.</w:t>
            </w:r>
          </w:p>
        </w:tc>
        <w:tc>
          <w:tcPr>
            <w:tcW w:w="310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w w:val="98"/>
              </w:rPr>
              <w:t>Anti-Corruption Laws and Sanctions</w:t>
            </w:r>
          </w:p>
        </w:tc>
        <w:tc>
          <w:tcPr>
            <w:tcW w:w="180" w:type="dxa"/>
            <w:vAlign w:val="bottom"/>
          </w:tcPr>
          <w:p>
            <w:pPr>
              <w:spacing w:after="0"/>
              <w:rPr>
                <w:sz w:val="21"/>
                <w:szCs w:val="21"/>
                <w:color w:val="auto"/>
              </w:rPr>
            </w:pPr>
          </w:p>
        </w:tc>
        <w:tc>
          <w:tcPr>
            <w:tcW w:w="74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w w:val="79"/>
              </w:rPr>
              <w:t>61</w:t>
            </w:r>
          </w:p>
        </w:tc>
        <w:tc>
          <w:tcPr>
            <w:tcW w:w="1280" w:type="dxa"/>
            <w:vAlign w:val="bottom"/>
          </w:tcPr>
          <w:p>
            <w:pPr>
              <w:spacing w:after="0"/>
              <w:rPr>
                <w:sz w:val="21"/>
                <w:szCs w:val="21"/>
                <w:color w:val="auto"/>
              </w:rPr>
            </w:pPr>
          </w:p>
        </w:tc>
      </w:tr>
      <w:tr>
        <w:trPr>
          <w:trHeight w:val="243"/>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4.23.</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Disclosure</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61</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8"/>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4.24.</w:t>
            </w:r>
          </w:p>
        </w:tc>
        <w:tc>
          <w:tcPr>
            <w:tcW w:w="252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w w:val="98"/>
              </w:rPr>
              <w:t>Affected Financial Institution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430"/>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SECTION 5.</w:t>
            </w:r>
          </w:p>
        </w:tc>
        <w:tc>
          <w:tcPr>
            <w:tcW w:w="304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auto"/>
              </w:rPr>
              <w:t>CONDITIONS PRECEDENT  61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9"/>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5.1.</w:t>
            </w:r>
          </w:p>
        </w:tc>
        <w:tc>
          <w:tcPr>
            <w:tcW w:w="140" w:type="dxa"/>
            <w:vAlign w:val="bottom"/>
          </w:tcPr>
          <w:p>
            <w:pPr>
              <w:spacing w:after="0"/>
              <w:rPr>
                <w:sz w:val="19"/>
                <w:szCs w:val="19"/>
                <w:color w:val="auto"/>
              </w:rPr>
            </w:pPr>
          </w:p>
        </w:tc>
        <w:tc>
          <w:tcPr>
            <w:tcW w:w="328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w w:val="99"/>
              </w:rPr>
              <w:t>Conditions to Initial Extension of Credit</w:t>
            </w:r>
          </w:p>
        </w:tc>
        <w:tc>
          <w:tcPr>
            <w:tcW w:w="7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61</w:t>
            </w:r>
          </w:p>
        </w:tc>
        <w:tc>
          <w:tcPr>
            <w:tcW w:w="1280" w:type="dxa"/>
            <w:vAlign w:val="bottom"/>
          </w:tcPr>
          <w:p>
            <w:pPr>
              <w:spacing w:after="0"/>
              <w:rPr>
                <w:sz w:val="19"/>
                <w:szCs w:val="19"/>
                <w:color w:val="auto"/>
              </w:rPr>
            </w:pPr>
          </w:p>
        </w:tc>
      </w:tr>
      <w:tr>
        <w:trPr>
          <w:trHeight w:val="258"/>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5.2.</w:t>
            </w:r>
          </w:p>
        </w:tc>
        <w:tc>
          <w:tcPr>
            <w:tcW w:w="140" w:type="dxa"/>
            <w:vAlign w:val="bottom"/>
          </w:tcPr>
          <w:p>
            <w:pPr>
              <w:spacing w:after="0"/>
              <w:rPr>
                <w:sz w:val="22"/>
                <w:szCs w:val="22"/>
                <w:color w:val="auto"/>
              </w:rPr>
            </w:pPr>
          </w:p>
        </w:tc>
        <w:tc>
          <w:tcPr>
            <w:tcW w:w="328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rPr>
              <w:t>Conditions to Each Extension of Credit</w:t>
            </w:r>
          </w:p>
        </w:tc>
        <w:tc>
          <w:tcPr>
            <w:tcW w:w="74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64</w:t>
            </w:r>
          </w:p>
        </w:tc>
        <w:tc>
          <w:tcPr>
            <w:tcW w:w="1280" w:type="dxa"/>
            <w:vAlign w:val="bottom"/>
          </w:tcPr>
          <w:p>
            <w:pPr>
              <w:spacing w:after="0"/>
              <w:rPr>
                <w:sz w:val="22"/>
                <w:szCs w:val="22"/>
                <w:color w:val="auto"/>
              </w:rPr>
            </w:pPr>
          </w:p>
        </w:tc>
      </w:tr>
      <w:tr>
        <w:trPr>
          <w:trHeight w:val="444"/>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SECTION 6.</w:t>
            </w:r>
          </w:p>
        </w:tc>
        <w:tc>
          <w:tcPr>
            <w:tcW w:w="266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w w:val="99"/>
              </w:rPr>
              <w:t>AFFIRMATIVE COVENANTS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6.1.</w:t>
            </w:r>
          </w:p>
        </w:tc>
        <w:tc>
          <w:tcPr>
            <w:tcW w:w="140" w:type="dxa"/>
            <w:vAlign w:val="bottom"/>
          </w:tcPr>
          <w:p>
            <w:pPr>
              <w:spacing w:after="0"/>
              <w:rPr>
                <w:sz w:val="19"/>
                <w:szCs w:val="19"/>
                <w:color w:val="auto"/>
              </w:rPr>
            </w:pPr>
          </w:p>
        </w:tc>
        <w:tc>
          <w:tcPr>
            <w:tcW w:w="216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Reporting Requirements</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64</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6.2.</w:t>
            </w:r>
          </w:p>
        </w:tc>
        <w:tc>
          <w:tcPr>
            <w:tcW w:w="140" w:type="dxa"/>
            <w:vAlign w:val="bottom"/>
          </w:tcPr>
          <w:p>
            <w:pPr>
              <w:spacing w:after="0"/>
              <w:rPr>
                <w:sz w:val="21"/>
                <w:szCs w:val="21"/>
                <w:color w:val="auto"/>
              </w:rPr>
            </w:pPr>
          </w:p>
        </w:tc>
        <w:tc>
          <w:tcPr>
            <w:tcW w:w="402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rPr>
              <w:t>Payment of Taxes and Other Potential Liens  66</w:t>
            </w:r>
          </w:p>
        </w:tc>
        <w:tc>
          <w:tcPr>
            <w:tcW w:w="1280" w:type="dxa"/>
            <w:vAlign w:val="bottom"/>
          </w:tcPr>
          <w:p>
            <w:pPr>
              <w:spacing w:after="0"/>
              <w:rPr>
                <w:sz w:val="21"/>
                <w:szCs w:val="21"/>
                <w:color w:val="auto"/>
              </w:rPr>
            </w:pPr>
          </w:p>
        </w:tc>
      </w:tr>
      <w:tr>
        <w:trPr>
          <w:trHeight w:val="230"/>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6.3.</w:t>
            </w:r>
          </w:p>
        </w:tc>
        <w:tc>
          <w:tcPr>
            <w:tcW w:w="140" w:type="dxa"/>
            <w:vAlign w:val="bottom"/>
          </w:tcPr>
          <w:p>
            <w:pPr>
              <w:spacing w:after="0"/>
              <w:rPr>
                <w:sz w:val="19"/>
                <w:szCs w:val="19"/>
                <w:color w:val="auto"/>
              </w:rPr>
            </w:pPr>
          </w:p>
        </w:tc>
        <w:tc>
          <w:tcPr>
            <w:tcW w:w="216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Preservation of Existence</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6.4.</w:t>
            </w:r>
          </w:p>
        </w:tc>
        <w:tc>
          <w:tcPr>
            <w:tcW w:w="140" w:type="dxa"/>
            <w:vAlign w:val="bottom"/>
          </w:tcPr>
          <w:p>
            <w:pPr>
              <w:spacing w:after="0"/>
              <w:rPr>
                <w:sz w:val="21"/>
                <w:szCs w:val="21"/>
                <w:color w:val="auto"/>
              </w:rPr>
            </w:pPr>
          </w:p>
        </w:tc>
        <w:tc>
          <w:tcPr>
            <w:tcW w:w="216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w w:val="98"/>
              </w:rPr>
              <w:t>Maintenance of Properties</w:t>
            </w:r>
          </w:p>
        </w:tc>
        <w:tc>
          <w:tcPr>
            <w:tcW w:w="74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67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6.5.</w:t>
            </w:r>
          </w:p>
        </w:tc>
        <w:tc>
          <w:tcPr>
            <w:tcW w:w="14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9"/>
              </w:rPr>
              <w:t>Access to Premises and Books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6.6.</w:t>
            </w:r>
          </w:p>
        </w:tc>
        <w:tc>
          <w:tcPr>
            <w:tcW w:w="140" w:type="dxa"/>
            <w:vAlign w:val="bottom"/>
          </w:tcPr>
          <w:p>
            <w:pPr>
              <w:spacing w:after="0"/>
              <w:rPr>
                <w:sz w:val="19"/>
                <w:szCs w:val="19"/>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Notices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67</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6.7.</w:t>
            </w:r>
          </w:p>
        </w:tc>
        <w:tc>
          <w:tcPr>
            <w:tcW w:w="140" w:type="dxa"/>
            <w:vAlign w:val="bottom"/>
          </w:tcPr>
          <w:p>
            <w:pPr>
              <w:spacing w:after="0"/>
              <w:rPr>
                <w:sz w:val="21"/>
                <w:szCs w:val="21"/>
                <w:color w:val="auto"/>
              </w:rPr>
            </w:pPr>
          </w:p>
        </w:tc>
        <w:tc>
          <w:tcPr>
            <w:tcW w:w="310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Addition and Removal of Guarantors</w:t>
            </w:r>
          </w:p>
        </w:tc>
        <w:tc>
          <w:tcPr>
            <w:tcW w:w="920" w:type="dxa"/>
            <w:vAlign w:val="bottom"/>
            <w:gridSpan w:val="2"/>
          </w:tcPr>
          <w:p>
            <w:pPr>
              <w:jc w:val="right"/>
              <w:ind w:right="521"/>
              <w:spacing w:after="0"/>
              <w:rPr>
                <w:sz w:val="20"/>
                <w:szCs w:val="20"/>
                <w:color w:val="auto"/>
              </w:rPr>
            </w:pPr>
            <w:r>
              <w:rPr>
                <w:rFonts w:ascii="Times New Roman" w:cs="Times New Roman" w:eastAsia="Times New Roman" w:hAnsi="Times New Roman"/>
                <w:sz w:val="20"/>
                <w:szCs w:val="20"/>
                <w:color w:val="auto"/>
              </w:rPr>
              <w:t>68</w:t>
            </w:r>
          </w:p>
        </w:tc>
        <w:tc>
          <w:tcPr>
            <w:tcW w:w="1280" w:type="dxa"/>
            <w:vAlign w:val="bottom"/>
          </w:tcPr>
          <w:p>
            <w:pPr>
              <w:spacing w:after="0"/>
              <w:rPr>
                <w:sz w:val="21"/>
                <w:szCs w:val="21"/>
                <w:color w:val="auto"/>
              </w:rPr>
            </w:pPr>
          </w:p>
        </w:tc>
      </w:tr>
      <w:tr>
        <w:trPr>
          <w:trHeight w:val="230"/>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6.8.</w:t>
            </w:r>
          </w:p>
        </w:tc>
        <w:tc>
          <w:tcPr>
            <w:tcW w:w="140" w:type="dxa"/>
            <w:vAlign w:val="bottom"/>
          </w:tcPr>
          <w:p>
            <w:pPr>
              <w:spacing w:after="0"/>
              <w:rPr>
                <w:sz w:val="19"/>
                <w:szCs w:val="19"/>
                <w:color w:val="auto"/>
              </w:rPr>
            </w:pPr>
          </w:p>
        </w:tc>
        <w:tc>
          <w:tcPr>
            <w:tcW w:w="402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rPr>
              <w:t>Compliance with Laws and Other Requirements</w:t>
            </w:r>
          </w:p>
        </w:tc>
        <w:tc>
          <w:tcPr>
            <w:tcW w:w="1280" w:type="dxa"/>
            <w:vAlign w:val="bottom"/>
          </w:tcPr>
          <w:p>
            <w:pPr>
              <w:jc w:val="right"/>
              <w:ind w:right="921"/>
              <w:spacing w:after="0"/>
              <w:rPr>
                <w:sz w:val="20"/>
                <w:szCs w:val="20"/>
                <w:color w:val="auto"/>
              </w:rPr>
            </w:pPr>
            <w:r>
              <w:rPr>
                <w:rFonts w:ascii="Times New Roman" w:cs="Times New Roman" w:eastAsia="Times New Roman" w:hAnsi="Times New Roman"/>
                <w:sz w:val="20"/>
                <w:szCs w:val="20"/>
                <w:color w:val="auto"/>
              </w:rPr>
              <w:t>68</w:t>
            </w: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6.9.</w:t>
            </w:r>
          </w:p>
        </w:tc>
        <w:tc>
          <w:tcPr>
            <w:tcW w:w="140" w:type="dxa"/>
            <w:vAlign w:val="bottom"/>
          </w:tcPr>
          <w:p>
            <w:pPr>
              <w:spacing w:after="0"/>
              <w:rPr>
                <w:sz w:val="21"/>
                <w:szCs w:val="21"/>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Use of Proceeds</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8"/>
        </w:trPr>
        <w:tc>
          <w:tcPr>
            <w:tcW w:w="13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6.10.</w:t>
            </w:r>
          </w:p>
        </w:tc>
        <w:tc>
          <w:tcPr>
            <w:tcW w:w="290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Certain Post-Closing Obligations</w:t>
            </w:r>
          </w:p>
        </w:tc>
        <w:tc>
          <w:tcPr>
            <w:tcW w:w="3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68</w:t>
            </w:r>
          </w:p>
        </w:tc>
        <w:tc>
          <w:tcPr>
            <w:tcW w:w="7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430"/>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SECTION 7.</w:t>
            </w:r>
          </w:p>
        </w:tc>
        <w:tc>
          <w:tcPr>
            <w:tcW w:w="230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w w:val="98"/>
              </w:rPr>
              <w:t>NEGATIVE COVENANTS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7.1.</w:t>
            </w:r>
          </w:p>
        </w:tc>
        <w:tc>
          <w:tcPr>
            <w:tcW w:w="14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8"/>
              </w:rPr>
              <w:t>Financial Condition Covenants</w:t>
            </w: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69</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7.2.</w:t>
            </w:r>
          </w:p>
        </w:tc>
        <w:tc>
          <w:tcPr>
            <w:tcW w:w="140" w:type="dxa"/>
            <w:vAlign w:val="bottom"/>
          </w:tcPr>
          <w:p>
            <w:pPr>
              <w:spacing w:after="0"/>
              <w:rPr>
                <w:sz w:val="19"/>
                <w:szCs w:val="19"/>
                <w:color w:val="auto"/>
              </w:rPr>
            </w:pPr>
          </w:p>
        </w:tc>
        <w:tc>
          <w:tcPr>
            <w:tcW w:w="216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Liens and Encumbrances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7.3.</w:t>
            </w:r>
          </w:p>
        </w:tc>
        <w:tc>
          <w:tcPr>
            <w:tcW w:w="140" w:type="dxa"/>
            <w:vAlign w:val="bottom"/>
          </w:tcPr>
          <w:p>
            <w:pPr>
              <w:spacing w:after="0"/>
              <w:rPr>
                <w:sz w:val="21"/>
                <w:szCs w:val="21"/>
                <w:color w:val="auto"/>
              </w:rPr>
            </w:pPr>
          </w:p>
        </w:tc>
        <w:tc>
          <w:tcPr>
            <w:tcW w:w="310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Limitation on Fundamental Changes</w:t>
            </w:r>
          </w:p>
        </w:tc>
        <w:tc>
          <w:tcPr>
            <w:tcW w:w="920" w:type="dxa"/>
            <w:vAlign w:val="bottom"/>
            <w:gridSpan w:val="2"/>
          </w:tcPr>
          <w:p>
            <w:pPr>
              <w:jc w:val="right"/>
              <w:ind w:right="581"/>
              <w:spacing w:after="0"/>
              <w:rPr>
                <w:sz w:val="20"/>
                <w:szCs w:val="20"/>
                <w:color w:val="auto"/>
              </w:rPr>
            </w:pPr>
            <w:r>
              <w:rPr>
                <w:rFonts w:ascii="Times New Roman" w:cs="Times New Roman" w:eastAsia="Times New Roman" w:hAnsi="Times New Roman"/>
                <w:sz w:val="20"/>
                <w:szCs w:val="20"/>
                <w:color w:val="auto"/>
              </w:rPr>
              <w:t>69</w:t>
            </w:r>
          </w:p>
        </w:tc>
        <w:tc>
          <w:tcPr>
            <w:tcW w:w="1280" w:type="dxa"/>
            <w:vAlign w:val="bottom"/>
          </w:tcPr>
          <w:p>
            <w:pPr>
              <w:spacing w:after="0"/>
              <w:rPr>
                <w:sz w:val="21"/>
                <w:szCs w:val="21"/>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7.4.</w:t>
            </w:r>
          </w:p>
        </w:tc>
        <w:tc>
          <w:tcPr>
            <w:tcW w:w="140" w:type="dxa"/>
            <w:vAlign w:val="bottom"/>
          </w:tcPr>
          <w:p>
            <w:pPr>
              <w:spacing w:after="0"/>
              <w:rPr>
                <w:sz w:val="21"/>
                <w:szCs w:val="21"/>
                <w:color w:val="auto"/>
              </w:rPr>
            </w:pPr>
          </w:p>
        </w:tc>
        <w:tc>
          <w:tcPr>
            <w:tcW w:w="184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w w:val="98"/>
              </w:rPr>
              <w:t>Permitted Investments</w:t>
            </w:r>
          </w:p>
        </w:tc>
        <w:tc>
          <w:tcPr>
            <w:tcW w:w="68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70</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9"/>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7.5.</w:t>
            </w:r>
          </w:p>
        </w:tc>
        <w:tc>
          <w:tcPr>
            <w:tcW w:w="140" w:type="dxa"/>
            <w:vAlign w:val="bottom"/>
          </w:tcPr>
          <w:p>
            <w:pPr>
              <w:spacing w:after="0"/>
              <w:rPr>
                <w:sz w:val="19"/>
                <w:szCs w:val="19"/>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No Margin Stock</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7.6.</w:t>
            </w:r>
          </w:p>
        </w:tc>
        <w:tc>
          <w:tcPr>
            <w:tcW w:w="140" w:type="dxa"/>
            <w:vAlign w:val="bottom"/>
          </w:tcPr>
          <w:p>
            <w:pPr>
              <w:spacing w:after="0"/>
              <w:rPr>
                <w:sz w:val="21"/>
                <w:szCs w:val="21"/>
                <w:color w:val="auto"/>
              </w:rPr>
            </w:pPr>
          </w:p>
        </w:tc>
        <w:tc>
          <w:tcPr>
            <w:tcW w:w="216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Burdensome Agreements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8"/>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7.7.</w:t>
            </w:r>
          </w:p>
        </w:tc>
        <w:tc>
          <w:tcPr>
            <w:tcW w:w="140" w:type="dxa"/>
            <w:vAlign w:val="bottom"/>
          </w:tcPr>
          <w:p>
            <w:pPr>
              <w:spacing w:after="0"/>
              <w:rPr>
                <w:sz w:val="22"/>
                <w:szCs w:val="22"/>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4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72</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8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139"/>
          </w:cols>
          <w:pgMar w:left="320" w:top="1413"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139"/>
          </w:cols>
          <w:pgMar w:left="320" w:top="1413" w:right="1440"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7.8.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w w:val="97"/>
              </w:rPr>
              <w:t>Prepayment of Indebtedness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30"/>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7.9.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Pension Plan</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43"/>
        </w:trPr>
        <w:tc>
          <w:tcPr>
            <w:tcW w:w="13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w w:val="99"/>
              </w:rPr>
              <w:t>7.10.</w:t>
            </w:r>
          </w:p>
        </w:tc>
        <w:tc>
          <w:tcPr>
            <w:tcW w:w="80" w:type="dxa"/>
            <w:vAlign w:val="bottom"/>
          </w:tcPr>
          <w:p>
            <w:pPr>
              <w:spacing w:after="0"/>
              <w:rPr>
                <w:sz w:val="21"/>
                <w:szCs w:val="21"/>
                <w:color w:val="auto"/>
              </w:rPr>
            </w:pPr>
          </w:p>
        </w:tc>
        <w:tc>
          <w:tcPr>
            <w:tcW w:w="274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Transactions with Affiliates  72</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58"/>
        </w:trPr>
        <w:tc>
          <w:tcPr>
            <w:tcW w:w="13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w w:val="99"/>
              </w:rPr>
              <w:t>7.11.</w:t>
            </w:r>
          </w:p>
        </w:tc>
        <w:tc>
          <w:tcPr>
            <w:tcW w:w="80" w:type="dxa"/>
            <w:vAlign w:val="bottom"/>
          </w:tcPr>
          <w:p>
            <w:pPr>
              <w:spacing w:after="0"/>
              <w:rPr>
                <w:sz w:val="22"/>
                <w:szCs w:val="22"/>
                <w:color w:val="auto"/>
              </w:rPr>
            </w:pPr>
          </w:p>
        </w:tc>
        <w:tc>
          <w:tcPr>
            <w:tcW w:w="298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w w:val="99"/>
              </w:rPr>
              <w:t>Foreign Assets Control Regulations</w:t>
            </w:r>
          </w:p>
        </w:tc>
        <w:tc>
          <w:tcPr>
            <w:tcW w:w="1320" w:type="dxa"/>
            <w:vAlign w:val="bottom"/>
          </w:tcPr>
          <w:p>
            <w:pPr>
              <w:jc w:val="right"/>
              <w:ind w:right="861"/>
              <w:spacing w:after="0"/>
              <w:rPr>
                <w:sz w:val="20"/>
                <w:szCs w:val="20"/>
                <w:color w:val="auto"/>
              </w:rPr>
            </w:pPr>
            <w:r>
              <w:rPr>
                <w:rFonts w:ascii="Times New Roman" w:cs="Times New Roman" w:eastAsia="Times New Roman" w:hAnsi="Times New Roman"/>
                <w:sz w:val="20"/>
                <w:szCs w:val="20"/>
                <w:color w:val="auto"/>
              </w:rPr>
              <w:t>72</w:t>
            </w:r>
          </w:p>
        </w:tc>
        <w:tc>
          <w:tcPr>
            <w:tcW w:w="4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446"/>
        </w:trPr>
        <w:tc>
          <w:tcPr>
            <w:tcW w:w="43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SECTION 8.  EVENTS OF DEFAULT; REMEDIES</w:t>
            </w:r>
          </w:p>
        </w:tc>
        <w:tc>
          <w:tcPr>
            <w:tcW w:w="1320" w:type="dxa"/>
            <w:vAlign w:val="bottom"/>
          </w:tcPr>
          <w:p>
            <w:pPr>
              <w:jc w:val="right"/>
              <w:ind w:right="881"/>
              <w:spacing w:after="0"/>
              <w:rPr>
                <w:sz w:val="20"/>
                <w:szCs w:val="20"/>
                <w:color w:val="auto"/>
              </w:rPr>
            </w:pPr>
            <w:r>
              <w:rPr>
                <w:rFonts w:ascii="Times New Roman" w:cs="Times New Roman" w:eastAsia="Times New Roman" w:hAnsi="Times New Roman"/>
                <w:sz w:val="20"/>
                <w:szCs w:val="20"/>
                <w:color w:val="auto"/>
              </w:rPr>
              <w:t>72</w:t>
            </w: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44"/>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SECTION 9.</w:t>
            </w:r>
          </w:p>
        </w:tc>
        <w:tc>
          <w:tcPr>
            <w:tcW w:w="1400" w:type="dxa"/>
            <w:vAlign w:val="bottom"/>
            <w:gridSpan w:val="4"/>
          </w:tcPr>
          <w:p>
            <w:pPr>
              <w:jc w:val="right"/>
              <w:ind w:right="41"/>
              <w:spacing w:after="0"/>
              <w:rPr>
                <w:sz w:val="20"/>
                <w:szCs w:val="20"/>
                <w:color w:val="auto"/>
              </w:rPr>
            </w:pPr>
            <w:r>
              <w:rPr>
                <w:rFonts w:ascii="Times New Roman" w:cs="Times New Roman" w:eastAsia="Times New Roman" w:hAnsi="Times New Roman"/>
                <w:sz w:val="20"/>
                <w:szCs w:val="20"/>
                <w:color w:val="auto"/>
              </w:rPr>
              <w:t>THE AGENTS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0"/>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9.1.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Appointment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9.2.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w w:val="99"/>
              </w:rPr>
              <w:t>Delegation of Duties</w:t>
            </w:r>
          </w:p>
        </w:tc>
        <w:tc>
          <w:tcPr>
            <w:tcW w:w="56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75</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30"/>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9.3.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Exculpatory Provisions</w:t>
            </w:r>
          </w:p>
        </w:tc>
        <w:tc>
          <w:tcPr>
            <w:tcW w:w="800" w:type="dxa"/>
            <w:vAlign w:val="bottom"/>
            <w:gridSpan w:val="2"/>
          </w:tcPr>
          <w:p>
            <w:pPr>
              <w:jc w:val="right"/>
              <w:ind w:right="381"/>
              <w:spacing w:after="0"/>
              <w:rPr>
                <w:sz w:val="20"/>
                <w:szCs w:val="20"/>
                <w:color w:val="auto"/>
              </w:rPr>
            </w:pPr>
            <w:r>
              <w:rPr>
                <w:rFonts w:ascii="Times New Roman" w:cs="Times New Roman" w:eastAsia="Times New Roman" w:hAnsi="Times New Roman"/>
                <w:sz w:val="20"/>
                <w:szCs w:val="20"/>
                <w:color w:val="auto"/>
              </w:rPr>
              <w:t>75</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9.4.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4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auto"/>
                <w:w w:val="98"/>
              </w:rPr>
              <w:t>Reliance by Administrative Agent</w:t>
            </w:r>
          </w:p>
        </w:tc>
        <w:tc>
          <w:tcPr>
            <w:tcW w:w="1560" w:type="dxa"/>
            <w:vAlign w:val="bottom"/>
            <w:gridSpan w:val="2"/>
          </w:tcPr>
          <w:p>
            <w:pPr>
              <w:jc w:val="right"/>
              <w:ind w:right="1081"/>
              <w:spacing w:after="0"/>
              <w:rPr>
                <w:sz w:val="20"/>
                <w:szCs w:val="20"/>
                <w:color w:val="auto"/>
              </w:rPr>
            </w:pPr>
            <w:r>
              <w:rPr>
                <w:rFonts w:ascii="Times New Roman" w:cs="Times New Roman" w:eastAsia="Times New Roman" w:hAnsi="Times New Roman"/>
                <w:sz w:val="20"/>
                <w:szCs w:val="20"/>
                <w:color w:val="auto"/>
              </w:rPr>
              <w:t>76</w:t>
            </w: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9.5.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Notice of Default</w:t>
            </w:r>
          </w:p>
        </w:tc>
        <w:tc>
          <w:tcPr>
            <w:tcW w:w="46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76</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29"/>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9.6.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720" w:type="dxa"/>
            <w:vAlign w:val="bottom"/>
            <w:gridSpan w:val="10"/>
          </w:tcPr>
          <w:p>
            <w:pPr>
              <w:ind w:left="20"/>
              <w:spacing w:after="0"/>
              <w:rPr>
                <w:sz w:val="20"/>
                <w:szCs w:val="20"/>
                <w:color w:val="auto"/>
              </w:rPr>
            </w:pPr>
            <w:r>
              <w:rPr>
                <w:rFonts w:ascii="Times New Roman" w:cs="Times New Roman" w:eastAsia="Times New Roman" w:hAnsi="Times New Roman"/>
                <w:sz w:val="20"/>
                <w:szCs w:val="20"/>
                <w:color w:val="auto"/>
                <w:w w:val="99"/>
              </w:rPr>
              <w:t>Non-Reliance on Administrative Agent and Other Lenders</w:t>
            </w:r>
          </w:p>
        </w:tc>
        <w:tc>
          <w:tcPr>
            <w:tcW w:w="1900" w:type="dxa"/>
            <w:vAlign w:val="bottom"/>
          </w:tcPr>
          <w:p>
            <w:pPr>
              <w:jc w:val="right"/>
              <w:ind w:right="1481"/>
              <w:spacing w:after="0"/>
              <w:rPr>
                <w:sz w:val="20"/>
                <w:szCs w:val="20"/>
                <w:color w:val="auto"/>
              </w:rPr>
            </w:pPr>
            <w:r>
              <w:rPr>
                <w:rFonts w:ascii="Times New Roman" w:cs="Times New Roman" w:eastAsia="Times New Roman" w:hAnsi="Times New Roman"/>
                <w:sz w:val="20"/>
                <w:szCs w:val="20"/>
                <w:color w:val="auto"/>
              </w:rPr>
              <w:t>76</w:t>
            </w: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9.7.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Indemnification</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77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29"/>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9.8.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w w:val="99"/>
              </w:rPr>
              <w:t>Posting of Communications</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77</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43"/>
        </w:trPr>
        <w:tc>
          <w:tcPr>
            <w:tcW w:w="12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9.9.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300" w:type="dxa"/>
            <w:vAlign w:val="bottom"/>
            <w:gridSpan w:val="9"/>
          </w:tcPr>
          <w:p>
            <w:pPr>
              <w:ind w:left="20"/>
              <w:spacing w:after="0"/>
              <w:rPr>
                <w:sz w:val="20"/>
                <w:szCs w:val="20"/>
                <w:color w:val="auto"/>
              </w:rPr>
            </w:pPr>
            <w:r>
              <w:rPr>
                <w:rFonts w:ascii="Times New Roman" w:cs="Times New Roman" w:eastAsia="Times New Roman" w:hAnsi="Times New Roman"/>
                <w:sz w:val="20"/>
                <w:szCs w:val="20"/>
                <w:color w:val="auto"/>
              </w:rPr>
              <w:t>Administrative Agent in Its Individual Capacity  78</w:t>
            </w: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43"/>
        </w:trPr>
        <w:tc>
          <w:tcPr>
            <w:tcW w:w="13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w w:val="99"/>
              </w:rPr>
              <w:t>9.10.</w:t>
            </w:r>
          </w:p>
        </w:tc>
        <w:tc>
          <w:tcPr>
            <w:tcW w:w="80" w:type="dxa"/>
            <w:vAlign w:val="bottom"/>
          </w:tcPr>
          <w:p>
            <w:pPr>
              <w:spacing w:after="0"/>
              <w:rPr>
                <w:sz w:val="21"/>
                <w:szCs w:val="21"/>
                <w:color w:val="auto"/>
              </w:rPr>
            </w:pPr>
          </w:p>
        </w:tc>
        <w:tc>
          <w:tcPr>
            <w:tcW w:w="274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Successor Administrative Agent</w:t>
            </w:r>
          </w:p>
        </w:tc>
        <w:tc>
          <w:tcPr>
            <w:tcW w:w="1560" w:type="dxa"/>
            <w:vAlign w:val="bottom"/>
            <w:gridSpan w:val="2"/>
          </w:tcPr>
          <w:p>
            <w:pPr>
              <w:jc w:val="right"/>
              <w:ind w:right="1121"/>
              <w:spacing w:after="0"/>
              <w:rPr>
                <w:sz w:val="20"/>
                <w:szCs w:val="20"/>
                <w:color w:val="auto"/>
              </w:rPr>
            </w:pPr>
            <w:r>
              <w:rPr>
                <w:rFonts w:ascii="Times New Roman" w:cs="Times New Roman" w:eastAsia="Times New Roman" w:hAnsi="Times New Roman"/>
                <w:sz w:val="20"/>
                <w:szCs w:val="20"/>
                <w:color w:val="auto"/>
              </w:rPr>
              <w:t>78</w:t>
            </w: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30"/>
        </w:trPr>
        <w:tc>
          <w:tcPr>
            <w:tcW w:w="13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w w:val="99"/>
              </w:rPr>
              <w:t>9.11.</w:t>
            </w:r>
          </w:p>
        </w:tc>
        <w:tc>
          <w:tcPr>
            <w:tcW w:w="80" w:type="dxa"/>
            <w:vAlign w:val="bottom"/>
          </w:tcPr>
          <w:p>
            <w:pPr>
              <w:spacing w:after="0"/>
              <w:rPr>
                <w:sz w:val="19"/>
                <w:szCs w:val="19"/>
                <w:color w:val="auto"/>
              </w:rPr>
            </w:pPr>
          </w:p>
        </w:tc>
        <w:tc>
          <w:tcPr>
            <w:tcW w:w="274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Certain ERISA Matters  79</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58"/>
        </w:trPr>
        <w:tc>
          <w:tcPr>
            <w:tcW w:w="13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w w:val="99"/>
              </w:rPr>
              <w:t>9.12.</w:t>
            </w:r>
          </w:p>
        </w:tc>
        <w:tc>
          <w:tcPr>
            <w:tcW w:w="80" w:type="dxa"/>
            <w:vAlign w:val="bottom"/>
          </w:tcPr>
          <w:p>
            <w:pPr>
              <w:spacing w:after="0"/>
              <w:rPr>
                <w:sz w:val="22"/>
                <w:szCs w:val="22"/>
                <w:color w:val="auto"/>
              </w:rPr>
            </w:pPr>
          </w:p>
        </w:tc>
        <w:tc>
          <w:tcPr>
            <w:tcW w:w="194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Erroneous Payments</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9"/>
              </w:rPr>
              <w:t>80</w:t>
            </w: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430"/>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SECTION 10.</w:t>
            </w:r>
          </w:p>
        </w:tc>
        <w:tc>
          <w:tcPr>
            <w:tcW w:w="100" w:type="dxa"/>
            <w:vAlign w:val="bottom"/>
          </w:tcPr>
          <w:p>
            <w:pPr>
              <w:spacing w:after="0"/>
              <w:rPr>
                <w:sz w:val="24"/>
                <w:szCs w:val="24"/>
                <w:color w:val="auto"/>
              </w:rPr>
            </w:pPr>
          </w:p>
        </w:tc>
        <w:tc>
          <w:tcPr>
            <w:tcW w:w="1780" w:type="dxa"/>
            <w:vAlign w:val="bottom"/>
            <w:gridSpan w:val="5"/>
          </w:tcPr>
          <w:p>
            <w:pPr>
              <w:jc w:val="right"/>
              <w:ind w:right="1"/>
              <w:spacing w:after="0"/>
              <w:rPr>
                <w:sz w:val="20"/>
                <w:szCs w:val="20"/>
                <w:color w:val="auto"/>
              </w:rPr>
            </w:pPr>
            <w:r>
              <w:rPr>
                <w:rFonts w:ascii="Times New Roman" w:cs="Times New Roman" w:eastAsia="Times New Roman" w:hAnsi="Times New Roman"/>
                <w:sz w:val="20"/>
                <w:szCs w:val="20"/>
                <w:color w:val="auto"/>
                <w:w w:val="99"/>
              </w:rPr>
              <w:t>MISCELLANEOUS</w:t>
            </w:r>
          </w:p>
        </w:tc>
        <w:tc>
          <w:tcPr>
            <w:tcW w:w="56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81</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43"/>
        </w:trPr>
        <w:tc>
          <w:tcPr>
            <w:tcW w:w="13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w w:val="99"/>
              </w:rPr>
              <w:t>10.1.</w:t>
            </w:r>
          </w:p>
        </w:tc>
        <w:tc>
          <w:tcPr>
            <w:tcW w:w="80" w:type="dxa"/>
            <w:vAlign w:val="bottom"/>
          </w:tcPr>
          <w:p>
            <w:pPr>
              <w:spacing w:after="0"/>
              <w:rPr>
                <w:sz w:val="21"/>
                <w:szCs w:val="21"/>
                <w:color w:val="auto"/>
              </w:rPr>
            </w:pPr>
          </w:p>
        </w:tc>
        <w:tc>
          <w:tcPr>
            <w:tcW w:w="226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w w:val="99"/>
              </w:rPr>
              <w:t>Amendments and Waivers</w:t>
            </w: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81</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29"/>
        </w:trPr>
        <w:tc>
          <w:tcPr>
            <w:tcW w:w="13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w w:val="99"/>
              </w:rPr>
              <w:t>10.2.</w:t>
            </w:r>
          </w:p>
        </w:tc>
        <w:tc>
          <w:tcPr>
            <w:tcW w:w="8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Notices</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43"/>
        </w:trPr>
        <w:tc>
          <w:tcPr>
            <w:tcW w:w="13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w w:val="99"/>
              </w:rPr>
              <w:t>10.3.</w:t>
            </w:r>
          </w:p>
        </w:tc>
        <w:tc>
          <w:tcPr>
            <w:tcW w:w="80" w:type="dxa"/>
            <w:vAlign w:val="bottom"/>
          </w:tcPr>
          <w:p>
            <w:pPr>
              <w:spacing w:after="0"/>
              <w:rPr>
                <w:sz w:val="21"/>
                <w:szCs w:val="21"/>
                <w:color w:val="auto"/>
              </w:rPr>
            </w:pPr>
          </w:p>
        </w:tc>
        <w:tc>
          <w:tcPr>
            <w:tcW w:w="298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No Waiver; Cumulative Remedies</w:t>
            </w:r>
          </w:p>
        </w:tc>
        <w:tc>
          <w:tcPr>
            <w:tcW w:w="1320" w:type="dxa"/>
            <w:vAlign w:val="bottom"/>
          </w:tcPr>
          <w:p>
            <w:pPr>
              <w:jc w:val="right"/>
              <w:ind w:right="981"/>
              <w:spacing w:after="0"/>
              <w:rPr>
                <w:sz w:val="20"/>
                <w:szCs w:val="20"/>
                <w:color w:val="auto"/>
              </w:rPr>
            </w:pPr>
            <w:r>
              <w:rPr>
                <w:rFonts w:ascii="Times New Roman" w:cs="Times New Roman" w:eastAsia="Times New Roman" w:hAnsi="Times New Roman"/>
                <w:sz w:val="20"/>
                <w:szCs w:val="20"/>
                <w:color w:val="auto"/>
              </w:rPr>
              <w:t>83</w:t>
            </w: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43"/>
        </w:trPr>
        <w:tc>
          <w:tcPr>
            <w:tcW w:w="13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w w:val="99"/>
              </w:rPr>
              <w:t>10.4.</w:t>
            </w:r>
          </w:p>
        </w:tc>
        <w:tc>
          <w:tcPr>
            <w:tcW w:w="80" w:type="dxa"/>
            <w:vAlign w:val="bottom"/>
          </w:tcPr>
          <w:p>
            <w:pPr>
              <w:spacing w:after="0"/>
              <w:rPr>
                <w:sz w:val="21"/>
                <w:szCs w:val="21"/>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Survival</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29"/>
        </w:trPr>
        <w:tc>
          <w:tcPr>
            <w:tcW w:w="13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w w:val="99"/>
              </w:rPr>
              <w:t>10.5.</w:t>
            </w:r>
          </w:p>
        </w:tc>
        <w:tc>
          <w:tcPr>
            <w:tcW w:w="4800" w:type="dxa"/>
            <w:vAlign w:val="bottom"/>
            <w:gridSpan w:val="11"/>
          </w:tcPr>
          <w:p>
            <w:pPr>
              <w:ind w:left="200"/>
              <w:spacing w:after="0"/>
              <w:rPr>
                <w:sz w:val="20"/>
                <w:szCs w:val="20"/>
                <w:color w:val="auto"/>
              </w:rPr>
            </w:pPr>
            <w:r>
              <w:rPr>
                <w:rFonts w:ascii="Times New Roman" w:cs="Times New Roman" w:eastAsia="Times New Roman" w:hAnsi="Times New Roman"/>
                <w:sz w:val="20"/>
                <w:szCs w:val="20"/>
                <w:color w:val="auto"/>
              </w:rPr>
              <w:t>Expenses; Limitation of Liability; Indemnity, Etc.  84</w:t>
            </w:r>
          </w:p>
        </w:tc>
        <w:tc>
          <w:tcPr>
            <w:tcW w:w="1900" w:type="dxa"/>
            <w:vAlign w:val="bottom"/>
          </w:tcPr>
          <w:p>
            <w:pPr>
              <w:spacing w:after="0"/>
              <w:rPr>
                <w:sz w:val="19"/>
                <w:szCs w:val="19"/>
                <w:color w:val="auto"/>
              </w:rPr>
            </w:pPr>
          </w:p>
        </w:tc>
      </w:tr>
      <w:tr>
        <w:trPr>
          <w:trHeight w:val="243"/>
        </w:trPr>
        <w:tc>
          <w:tcPr>
            <w:tcW w:w="13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w w:val="99"/>
              </w:rPr>
              <w:t>10.6.</w:t>
            </w:r>
          </w:p>
        </w:tc>
        <w:tc>
          <w:tcPr>
            <w:tcW w:w="80" w:type="dxa"/>
            <w:vAlign w:val="bottom"/>
          </w:tcPr>
          <w:p>
            <w:pPr>
              <w:spacing w:after="0"/>
              <w:rPr>
                <w:sz w:val="21"/>
                <w:szCs w:val="21"/>
                <w:color w:val="auto"/>
              </w:rPr>
            </w:pPr>
          </w:p>
        </w:tc>
        <w:tc>
          <w:tcPr>
            <w:tcW w:w="472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Successors and Assigns; Participations and Assignments</w:t>
            </w:r>
          </w:p>
        </w:tc>
        <w:tc>
          <w:tcPr>
            <w:tcW w:w="1900" w:type="dxa"/>
            <w:vAlign w:val="bottom"/>
          </w:tcPr>
          <w:p>
            <w:pPr>
              <w:jc w:val="right"/>
              <w:ind w:right="1541"/>
              <w:spacing w:after="0"/>
              <w:rPr>
                <w:sz w:val="20"/>
                <w:szCs w:val="20"/>
                <w:color w:val="auto"/>
              </w:rPr>
            </w:pPr>
            <w:r>
              <w:rPr>
                <w:rFonts w:ascii="Times New Roman" w:cs="Times New Roman" w:eastAsia="Times New Roman" w:hAnsi="Times New Roman"/>
                <w:sz w:val="20"/>
                <w:szCs w:val="20"/>
                <w:color w:val="auto"/>
              </w:rPr>
              <w:t>85</w:t>
            </w:r>
          </w:p>
        </w:tc>
      </w:tr>
      <w:tr>
        <w:trPr>
          <w:trHeight w:val="230"/>
        </w:trPr>
        <w:tc>
          <w:tcPr>
            <w:tcW w:w="13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w w:val="99"/>
              </w:rPr>
              <w:t>10.7.</w:t>
            </w:r>
          </w:p>
        </w:tc>
        <w:tc>
          <w:tcPr>
            <w:tcW w:w="80" w:type="dxa"/>
            <w:vAlign w:val="bottom"/>
          </w:tcPr>
          <w:p>
            <w:pPr>
              <w:spacing w:after="0"/>
              <w:rPr>
                <w:sz w:val="19"/>
                <w:szCs w:val="19"/>
                <w:color w:val="auto"/>
              </w:rPr>
            </w:pP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w w:val="97"/>
              </w:rPr>
              <w:t>Adjustments; Setoff</w:t>
            </w:r>
          </w:p>
        </w:tc>
        <w:tc>
          <w:tcPr>
            <w:tcW w:w="56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89</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43"/>
        </w:trPr>
        <w:tc>
          <w:tcPr>
            <w:tcW w:w="13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w w:val="99"/>
              </w:rPr>
              <w:t>10.8.</w:t>
            </w:r>
          </w:p>
        </w:tc>
        <w:tc>
          <w:tcPr>
            <w:tcW w:w="80" w:type="dxa"/>
            <w:vAlign w:val="bottom"/>
          </w:tcPr>
          <w:p>
            <w:pPr>
              <w:spacing w:after="0"/>
              <w:rPr>
                <w:sz w:val="21"/>
                <w:szCs w:val="21"/>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Counterparts</w:t>
            </w:r>
          </w:p>
        </w:tc>
        <w:tc>
          <w:tcPr>
            <w:tcW w:w="48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89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43"/>
        </w:trPr>
        <w:tc>
          <w:tcPr>
            <w:tcW w:w="13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w w:val="99"/>
              </w:rPr>
              <w:t>10.9.</w:t>
            </w:r>
          </w:p>
        </w:tc>
        <w:tc>
          <w:tcPr>
            <w:tcW w:w="80" w:type="dxa"/>
            <w:vAlign w:val="bottom"/>
          </w:tcPr>
          <w:p>
            <w:pPr>
              <w:spacing w:after="0"/>
              <w:rPr>
                <w:sz w:val="21"/>
                <w:szCs w:val="21"/>
                <w:color w:val="auto"/>
              </w:rPr>
            </w:pPr>
          </w:p>
        </w:tc>
        <w:tc>
          <w:tcPr>
            <w:tcW w:w="194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w w:val="98"/>
              </w:rPr>
              <w:t>Severability; Headings</w:t>
            </w:r>
          </w:p>
        </w:tc>
        <w:tc>
          <w:tcPr>
            <w:tcW w:w="800" w:type="dxa"/>
            <w:vAlign w:val="bottom"/>
            <w:gridSpan w:val="2"/>
          </w:tcPr>
          <w:p>
            <w:pPr>
              <w:jc w:val="right"/>
              <w:ind w:right="321"/>
              <w:spacing w:after="0"/>
              <w:rPr>
                <w:sz w:val="20"/>
                <w:szCs w:val="20"/>
                <w:color w:val="auto"/>
              </w:rPr>
            </w:pPr>
            <w:r>
              <w:rPr>
                <w:rFonts w:ascii="Times New Roman" w:cs="Times New Roman" w:eastAsia="Times New Roman" w:hAnsi="Times New Roman"/>
                <w:sz w:val="20"/>
                <w:szCs w:val="20"/>
                <w:color w:val="auto"/>
              </w:rPr>
              <w:t>90</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29"/>
        </w:trPr>
        <w:tc>
          <w:tcPr>
            <w:tcW w:w="14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w w:val="95"/>
              </w:rPr>
              <w:t>10.10.</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Integration</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43"/>
        </w:trPr>
        <w:tc>
          <w:tcPr>
            <w:tcW w:w="14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w w:val="95"/>
              </w:rPr>
              <w:t>10.11.</w:t>
            </w:r>
          </w:p>
        </w:tc>
        <w:tc>
          <w:tcPr>
            <w:tcW w:w="194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GOVERNING LAW</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30"/>
        </w:trPr>
        <w:tc>
          <w:tcPr>
            <w:tcW w:w="14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w w:val="95"/>
              </w:rPr>
              <w:t>10.12.</w:t>
            </w:r>
          </w:p>
        </w:tc>
        <w:tc>
          <w:tcPr>
            <w:tcW w:w="6620" w:type="dxa"/>
            <w:vAlign w:val="bottom"/>
            <w:gridSpan w:val="11"/>
          </w:tcPr>
          <w:p>
            <w:pPr>
              <w:ind w:left="220"/>
              <w:spacing w:after="0"/>
              <w:rPr>
                <w:sz w:val="20"/>
                <w:szCs w:val="20"/>
                <w:color w:val="auto"/>
              </w:rPr>
            </w:pPr>
            <w:r>
              <w:rPr>
                <w:rFonts w:ascii="Times New Roman" w:cs="Times New Roman" w:eastAsia="Times New Roman" w:hAnsi="Times New Roman"/>
                <w:sz w:val="20"/>
                <w:szCs w:val="20"/>
                <w:color w:val="auto"/>
              </w:rPr>
              <w:t>Submission To Jurisdiction; Consent to Services of Process; Waivers  91</w:t>
            </w:r>
          </w:p>
        </w:tc>
      </w:tr>
      <w:tr>
        <w:trPr>
          <w:trHeight w:val="243"/>
        </w:trPr>
        <w:tc>
          <w:tcPr>
            <w:tcW w:w="14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w w:val="95"/>
              </w:rPr>
              <w:t>10.13.</w:t>
            </w:r>
          </w:p>
        </w:tc>
        <w:tc>
          <w:tcPr>
            <w:tcW w:w="194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Acknowledgements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43"/>
        </w:trPr>
        <w:tc>
          <w:tcPr>
            <w:tcW w:w="14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w w:val="95"/>
              </w:rPr>
              <w:t>10.14.</w:t>
            </w:r>
          </w:p>
        </w:tc>
        <w:tc>
          <w:tcPr>
            <w:tcW w:w="2260" w:type="dxa"/>
            <w:vAlign w:val="bottom"/>
            <w:gridSpan w:val="6"/>
          </w:tcPr>
          <w:p>
            <w:pPr>
              <w:ind w:left="220"/>
              <w:spacing w:after="0"/>
              <w:rPr>
                <w:sz w:val="20"/>
                <w:szCs w:val="20"/>
                <w:color w:val="auto"/>
              </w:rPr>
            </w:pPr>
            <w:r>
              <w:rPr>
                <w:rFonts w:ascii="Times New Roman" w:cs="Times New Roman" w:eastAsia="Times New Roman" w:hAnsi="Times New Roman"/>
                <w:sz w:val="20"/>
                <w:szCs w:val="20"/>
                <w:color w:val="auto"/>
              </w:rPr>
              <w:t>Releases of Guarantees</w:t>
            </w:r>
          </w:p>
        </w:tc>
        <w:tc>
          <w:tcPr>
            <w:tcW w:w="4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89"/>
              </w:rPr>
              <w:t>92</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29"/>
        </w:trPr>
        <w:tc>
          <w:tcPr>
            <w:tcW w:w="14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w w:val="95"/>
              </w:rPr>
              <w:t>10.15.</w:t>
            </w:r>
          </w:p>
        </w:tc>
        <w:tc>
          <w:tcPr>
            <w:tcW w:w="430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Confidentiality; Material Non-Public Information</w:t>
            </w:r>
          </w:p>
        </w:tc>
        <w:tc>
          <w:tcPr>
            <w:tcW w:w="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92</w:t>
            </w:r>
          </w:p>
        </w:tc>
        <w:tc>
          <w:tcPr>
            <w:tcW w:w="1900" w:type="dxa"/>
            <w:vAlign w:val="bottom"/>
          </w:tcPr>
          <w:p>
            <w:pPr>
              <w:spacing w:after="0"/>
              <w:rPr>
                <w:sz w:val="19"/>
                <w:szCs w:val="19"/>
                <w:color w:val="auto"/>
              </w:rPr>
            </w:pPr>
          </w:p>
        </w:tc>
      </w:tr>
      <w:tr>
        <w:trPr>
          <w:trHeight w:val="243"/>
        </w:trPr>
        <w:tc>
          <w:tcPr>
            <w:tcW w:w="14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w w:val="95"/>
              </w:rPr>
              <w:t>10.16.</w:t>
            </w:r>
          </w:p>
        </w:tc>
        <w:tc>
          <w:tcPr>
            <w:tcW w:w="2740" w:type="dxa"/>
            <w:vAlign w:val="bottom"/>
            <w:gridSpan w:val="7"/>
          </w:tcPr>
          <w:p>
            <w:pPr>
              <w:ind w:left="220"/>
              <w:spacing w:after="0"/>
              <w:rPr>
                <w:sz w:val="20"/>
                <w:szCs w:val="20"/>
                <w:color w:val="auto"/>
              </w:rPr>
            </w:pPr>
            <w:r>
              <w:rPr>
                <w:rFonts w:ascii="Times New Roman" w:cs="Times New Roman" w:eastAsia="Times New Roman" w:hAnsi="Times New Roman"/>
                <w:sz w:val="20"/>
                <w:szCs w:val="20"/>
                <w:color w:val="auto"/>
              </w:rPr>
              <w:t>WAIVERS OF JURY TRIAL</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93</w:t>
            </w: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30"/>
        </w:trPr>
        <w:tc>
          <w:tcPr>
            <w:tcW w:w="14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w w:val="95"/>
              </w:rPr>
              <w:t>10.17.</w:t>
            </w:r>
          </w:p>
        </w:tc>
        <w:tc>
          <w:tcPr>
            <w:tcW w:w="170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USA Patriot Act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94</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43"/>
        </w:trPr>
        <w:tc>
          <w:tcPr>
            <w:tcW w:w="14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w w:val="95"/>
              </w:rPr>
              <w:t>10.18.</w:t>
            </w:r>
          </w:p>
        </w:tc>
        <w:tc>
          <w:tcPr>
            <w:tcW w:w="6620" w:type="dxa"/>
            <w:vAlign w:val="bottom"/>
            <w:gridSpan w:val="11"/>
          </w:tcPr>
          <w:p>
            <w:pPr>
              <w:ind w:left="220"/>
              <w:spacing w:after="0"/>
              <w:rPr>
                <w:sz w:val="20"/>
                <w:szCs w:val="20"/>
                <w:color w:val="auto"/>
              </w:rPr>
            </w:pPr>
            <w:r>
              <w:rPr>
                <w:rFonts w:ascii="Times New Roman" w:cs="Times New Roman" w:eastAsia="Times New Roman" w:hAnsi="Times New Roman"/>
                <w:sz w:val="20"/>
                <w:szCs w:val="20"/>
                <w:color w:val="auto"/>
                <w:w w:val="99"/>
              </w:rPr>
              <w:t>Acknowledgement and Consent to Bail-In of Affected Financial Institutions  94</w:t>
            </w:r>
          </w:p>
        </w:tc>
      </w:tr>
      <w:tr>
        <w:trPr>
          <w:trHeight w:val="243"/>
        </w:trPr>
        <w:tc>
          <w:tcPr>
            <w:tcW w:w="14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w w:val="95"/>
              </w:rPr>
              <w:t>10.19.</w:t>
            </w:r>
          </w:p>
        </w:tc>
        <w:tc>
          <w:tcPr>
            <w:tcW w:w="430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w w:val="99"/>
              </w:rPr>
              <w:t>Acknowledgment Regarding Any Supported QFCs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1900" w:type="dxa"/>
            <w:vAlign w:val="bottom"/>
          </w:tcPr>
          <w:p>
            <w:pPr>
              <w:spacing w:after="0"/>
              <w:rPr>
                <w:sz w:val="21"/>
                <w:szCs w:val="21"/>
                <w:color w:val="auto"/>
              </w:rPr>
            </w:pPr>
          </w:p>
        </w:tc>
      </w:tr>
      <w:tr>
        <w:trPr>
          <w:trHeight w:val="229"/>
        </w:trPr>
        <w:tc>
          <w:tcPr>
            <w:tcW w:w="14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w w:val="95"/>
              </w:rPr>
              <w:t>10.20.</w:t>
            </w:r>
          </w:p>
        </w:tc>
        <w:tc>
          <w:tcPr>
            <w:tcW w:w="194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Judgment Currency</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95</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58"/>
        </w:trPr>
        <w:tc>
          <w:tcPr>
            <w:tcW w:w="14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w w:val="95"/>
              </w:rPr>
              <w:t>10.21.</w:t>
            </w:r>
          </w:p>
        </w:tc>
        <w:tc>
          <w:tcPr>
            <w:tcW w:w="2260" w:type="dxa"/>
            <w:vAlign w:val="bottom"/>
            <w:gridSpan w:val="6"/>
          </w:tcPr>
          <w:p>
            <w:pPr>
              <w:ind w:left="220"/>
              <w:spacing w:after="0"/>
              <w:rPr>
                <w:sz w:val="20"/>
                <w:szCs w:val="20"/>
                <w:color w:val="auto"/>
              </w:rPr>
            </w:pPr>
            <w:r>
              <w:rPr>
                <w:rFonts w:ascii="Times New Roman" w:cs="Times New Roman" w:eastAsia="Times New Roman" w:hAnsi="Times New Roman"/>
                <w:sz w:val="20"/>
                <w:szCs w:val="20"/>
                <w:color w:val="auto"/>
              </w:rPr>
              <w:t>Interest Rate Limitation</w:t>
            </w:r>
          </w:p>
        </w:tc>
        <w:tc>
          <w:tcPr>
            <w:tcW w:w="4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95</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0139"/>
          </w:cols>
          <w:pgMar w:left="320" w:top="1413"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auto"/>
        </w:rPr>
        <w:t>SCHEDULES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1.1A—Commitments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1.1B—Existing Liens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1.1C—Initial Guarantors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3.1A—L/C Commitments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4.12—Subsidiaries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4.21—Subordinated Debt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6.1(f)—Format of Joint Venture Reporting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6.10—Certain Post-Closing Obligations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7.4—Existing Investments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A—Form of Guarantee Agreement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B—Form of Compliance Certificate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C—Form of Borrowing Base Certificate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D—Form of Assignment and Assumption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E—Form of New Lender Supplement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F—Form of U.S. Tax Compliance Certificate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G—Form of Solvency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0139"/>
          </w:cols>
          <w:pgMar w:left="320" w:top="1413" w:right="1440" w:bottom="1440" w:gutter="0" w:footer="0" w:header="0"/>
        </w:sectPr>
      </w:pPr>
    </w:p>
    <w:bookmarkStart w:id="31" w:name="page32"/>
    <w:bookmarkEnd w:id="31"/>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CREDIT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October 13, 2022, among BEAZER HOMES USA,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several banks and other financial institutions or entities from time to time parties to this Agreement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JPMORGAN CHASE BANK, N.A., as Issuing Lender and Administrative Agent (each as hereinafter defined).</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parties hereto hereby agree as follows:</w:t>
      </w:r>
    </w:p>
    <w:p>
      <w:pPr>
        <w:spacing w:after="0" w:line="229"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color w:val="auto"/>
        </w:rPr>
        <w:t>DEFINITIONS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1.1. Defined Terms. As used in this Agreement, the terms listed in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shall have the respective meanings set forth in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-173990</wp:posOffset>
            </wp:positionV>
            <wp:extent cx="8997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jc w:val="both"/>
        <w:ind w:firstLine="1296"/>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xml:space="preserve">”: for any day, a rate per annum equal to the greatest of (a) the Prime Rate in effect on such day, (b) the NYFRB Rate in effect on such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½ of 1% and (c)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Rate for a one month Interest Period as published two U.S. Government Securities Business Days prior to such day (or if such day is not a U.S. Government Securities Business Day, the immediately preceding U.S. Government Securities Business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 of this definition,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ABR due to a change in the Prime Rate, the NYFRB Rate or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Rate shall be effective from and including the effective date of such change in the Prime Rate, the NYFRB Rate or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Rate, respectively. If the ABR is being used as an alternate rate of interest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(for the avoidance of doubt, only until the Benchmark Replacement has been determined pursuant to </w:t>
      </w:r>
      <w:r>
        <w:rPr>
          <w:rFonts w:ascii="Times New Roman" w:cs="Times New Roman" w:eastAsia="Times New Roman" w:hAnsi="Times New Roman"/>
          <w:sz w:val="20"/>
          <w:szCs w:val="20"/>
          <w:u w:val="single" w:color="auto"/>
          <w:color w:val="auto"/>
        </w:rPr>
        <w:t>Section 2.13(b)</w:t>
      </w:r>
      <w:r>
        <w:rPr>
          <w:rFonts w:ascii="Times New Roman" w:cs="Times New Roman" w:eastAsia="Times New Roman" w:hAnsi="Times New Roman"/>
          <w:sz w:val="20"/>
          <w:szCs w:val="20"/>
          <w:color w:val="auto"/>
        </w:rPr>
        <w:t xml:space="preserve">), then the ABR shall be the greater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 For the avoidance of doubt, if the ABR as determined pursuant to the foregoing would be less than 1.00%, such rate shall be deemed to be 1.00% for purposes of this Agreement.</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 Loans</w:t>
      </w:r>
      <w:r>
        <w:rPr>
          <w:rFonts w:ascii="Times New Roman" w:cs="Times New Roman" w:eastAsia="Times New Roman" w:hAnsi="Times New Roman"/>
          <w:sz w:val="20"/>
          <w:szCs w:val="20"/>
          <w:color w:val="auto"/>
        </w:rPr>
        <w:t>”: Loans the rate of interest applicable to which is based upon the ABR.</w:t>
      </w:r>
    </w:p>
    <w:p>
      <w:pPr>
        <w:spacing w:after="0" w:line="216"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Adjusted Daily Simple SOFR</w:t>
      </w:r>
      <w:r>
        <w:rPr>
          <w:rFonts w:ascii="Times New Roman" w:cs="Times New Roman" w:eastAsia="Times New Roman" w:hAnsi="Times New Roman"/>
          <w:sz w:val="20"/>
          <w:szCs w:val="20"/>
          <w:color w:val="FF0000"/>
          <w:strike w:val="1"/>
        </w:rPr>
        <w:t xml:space="preserve">”: an interest rate per annum equal to (a) the Daily Simple SOFR, </w:t>
      </w:r>
      <w:r>
        <w:rPr>
          <w:rFonts w:ascii="Times New Roman" w:cs="Times New Roman" w:eastAsia="Times New Roman" w:hAnsi="Times New Roman"/>
          <w:sz w:val="20"/>
          <w:szCs w:val="20"/>
          <w:u w:val="single" w:color="auto"/>
          <w:color w:val="FF0000"/>
          <w:strike w:val="1"/>
        </w:rPr>
        <w:t>plus</w:t>
      </w:r>
      <w:r>
        <w:rPr>
          <w:rFonts w:ascii="Times New Roman" w:cs="Times New Roman" w:eastAsia="Times New Roman" w:hAnsi="Times New Roman"/>
          <w:sz w:val="20"/>
          <w:szCs w:val="20"/>
          <w:color w:val="FF0000"/>
          <w:strike w:val="1"/>
        </w:rPr>
        <w:t xml:space="preserve"> (b) 0.10%; </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strike w:val="1"/>
        </w:rPr>
        <w:t xml:space="preserve"> that if the Adjusted </w:t>
      </w:r>
      <w:r>
        <w:rPr>
          <w:rFonts w:ascii="Times New Roman" w:cs="Times New Roman" w:eastAsia="Times New Roman" w:hAnsi="Times New Roman"/>
          <w:sz w:val="20"/>
          <w:szCs w:val="20"/>
          <w:color w:val="008000"/>
          <w:strike w:val="1"/>
        </w:rPr>
        <w:t>Daily Simple SOFR as so determined would be less than the Floor, such rate shall be deemed to be equal to the Floor for</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the purposes of this Agreement</w:t>
      </w:r>
      <w:r>
        <w:rPr>
          <w:rFonts w:ascii="Times New Roman" w:cs="Times New Roman" w:eastAsia="Times New Roman" w:hAnsi="Times New Roman"/>
          <w:sz w:val="20"/>
          <w:szCs w:val="20"/>
          <w:color w:val="FF0000"/>
          <w:strike w:val="1"/>
        </w:rPr>
        <w:t>.</w:t>
      </w:r>
    </w:p>
    <w:p>
      <w:pPr>
        <w:spacing w:after="0" w:line="16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Adjusted Term SOFR Rate</w:t>
      </w:r>
      <w:r>
        <w:rPr>
          <w:rFonts w:ascii="Times New Roman" w:cs="Times New Roman" w:eastAsia="Times New Roman" w:hAnsi="Times New Roman"/>
          <w:sz w:val="20"/>
          <w:szCs w:val="20"/>
          <w:color w:val="FF0000"/>
          <w:strike w:val="1"/>
        </w:rPr>
        <w:t xml:space="preserve">”: for any Interest Period, an interest rate per annum equal to (a) the Term SOFR Rate for such Interest Period, </w:t>
      </w:r>
      <w:r>
        <w:rPr>
          <w:rFonts w:ascii="Times New Roman" w:cs="Times New Roman" w:eastAsia="Times New Roman" w:hAnsi="Times New Roman"/>
          <w:sz w:val="20"/>
          <w:szCs w:val="20"/>
          <w:u w:val="single" w:color="auto"/>
          <w:color w:val="FF0000"/>
          <w:strike w:val="1"/>
        </w:rPr>
        <w:t>plus</w:t>
      </w:r>
      <w:r>
        <w:rPr>
          <w:rFonts w:ascii="Times New Roman" w:cs="Times New Roman" w:eastAsia="Times New Roman" w:hAnsi="Times New Roman"/>
          <w:sz w:val="20"/>
          <w:szCs w:val="20"/>
          <w:color w:val="FF0000"/>
          <w:strike w:val="1"/>
        </w:rPr>
        <w:t xml:space="preserve"> (b) 0.10%; </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strike w:val="1"/>
        </w:rPr>
        <w:t xml:space="preserve"> that if the Adjusted </w:t>
      </w:r>
      <w:r>
        <w:rPr>
          <w:rFonts w:ascii="Times New Roman" w:cs="Times New Roman" w:eastAsia="Times New Roman" w:hAnsi="Times New Roman"/>
          <w:sz w:val="20"/>
          <w:szCs w:val="20"/>
          <w:color w:val="008000"/>
          <w:strike w:val="1"/>
        </w:rPr>
        <w:t>Term SOFR Rate as so determined would be less than the Floor, such rate shall</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be deemed to be equal to the Floor for the purposes of this Agreement</w:t>
      </w:r>
      <w:r>
        <w:rPr>
          <w:rFonts w:ascii="Times New Roman" w:cs="Times New Roman" w:eastAsia="Times New Roman" w:hAnsi="Times New Roman"/>
          <w:sz w:val="20"/>
          <w:szCs w:val="20"/>
          <w:color w:val="FF0000"/>
          <w:strike w:val="1"/>
        </w:rPr>
        <w:t>.</w:t>
      </w:r>
    </w:p>
    <w:p>
      <w:pPr>
        <w:spacing w:after="0" w:line="18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JPMorgan Chase Bank, N.A., together with its affiliates, successors and assigns, as the administrative agent for the Lenders under this Agreement and the other Loan Documents.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(a) any EEA Financial Institution or (b) any UK Financial Institution.</w:t>
      </w:r>
    </w:p>
    <w:p>
      <w:pPr>
        <w:spacing w:after="0" w:line="229"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as to any Person, any Person (a) which directly, or indirectly through one or more intermediaries, Controls, or is Controlled by, or is under common Control with such Person, 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13" w:right="339" w:bottom="1440" w:gutter="0" w:footer="0" w:header="0"/>
        </w:sectPr>
      </w:pPr>
    </w:p>
    <w:bookmarkStart w:id="32" w:name="page33"/>
    <w:bookmarkEnd w:id="32"/>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which directly, or indirectly through one or more intermediaries, owns beneficially or of record twenty percent (20%) or more of the Voting Stock of such Person.</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Indemnitee</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10.5(d)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assigned to it in preamble hereto.</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10.20</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all laws, rules, and regulations of any jurisdiction applicable to the Borrower or any of its Subsidiaries from time to time concerning or relating to bribery or corruption.</w:t>
      </w:r>
    </w:p>
    <w:p>
      <w:pPr>
        <w:spacing w:after="0" w:line="14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Anti-Terrorism Order</w:t>
      </w:r>
      <w:r>
        <w:rPr>
          <w:rFonts w:ascii="Times New Roman" w:cs="Times New Roman" w:eastAsia="Times New Roman" w:hAnsi="Times New Roman"/>
          <w:sz w:val="20"/>
          <w:szCs w:val="20"/>
          <w:color w:val="auto"/>
        </w:rPr>
        <w:t>”: Executive Order No. 13,224, 66 Fed. Reg. 49,079 (2001), issued by the President of the United States of America (Executive Order Blocking Property and Prohibiting Transactions With Persons Who Commit, Threaten to Commit, or Support Terrorism).</w:t>
      </w:r>
    </w:p>
    <w:p>
      <w:pPr>
        <w:spacing w:after="0" w:line="16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xml:space="preserve">”: for any day, with respect to each Type of Loan, the applicable rate per annum set forth under the relevant column heading in the Applicable Pricing Grid, based upon the Leverage Ratio as of the end of the fiscal quarter of the Borrower for which consolidated financial statements have theretofore been most recently delivered pursuant to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the date of the delivery of the consolidated financial statements pursuant to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xml:space="preserve"> for the fiscal year ended September 30, 2022 the Applicable Margin shall be based on the rates per annum set forth in Category IV in the Applicable Pricing Grid.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9.8(b)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Pricing Grid</w:t>
      </w:r>
      <w:r>
        <w:rPr>
          <w:rFonts w:ascii="Times New Roman" w:cs="Times New Roman" w:eastAsia="Times New Roman" w:hAnsi="Times New Roman"/>
          <w:sz w:val="20"/>
          <w:szCs w:val="20"/>
          <w:color w:val="auto"/>
        </w:rPr>
        <w:t>”: the table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33" w:name="page34"/>
    <w:bookmarkEnd w:id="33"/>
    <w:p>
      <w:pPr>
        <w:spacing w:after="0" w:line="3" w:lineRule="exact"/>
        <w:rPr>
          <w:sz w:val="20"/>
          <w:szCs w:val="20"/>
          <w:color w:val="auto"/>
        </w:rPr>
      </w:pPr>
    </w:p>
    <w:tbl>
      <w:tblPr>
        <w:tblLayout w:type="fixed"/>
        <w:tblInd w:w="1290" w:type="dxa"/>
        <w:tblCellMar>
          <w:top w:w="0" w:type="dxa"/>
          <w:left w:w="0" w:type="dxa"/>
          <w:bottom w:w="0" w:type="dxa"/>
          <w:right w:w="0" w:type="dxa"/>
        </w:tblCellMar>
      </w:tblPr>
      <w:tr>
        <w:trPr>
          <w:trHeight w:val="48"/>
        </w:trPr>
        <w:tc>
          <w:tcPr>
            <w:tcW w:w="60" w:type="dxa"/>
            <w:vAlign w:val="bottom"/>
            <w:tcBorders>
              <w:top w:val="single" w:sz="8" w:color="auto"/>
              <w:left w:val="single" w:sz="8" w:color="auto"/>
              <w:bottom w:val="single" w:sz="8" w:color="auto"/>
              <w:right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320" w:type="dxa"/>
            <w:vAlign w:val="bottom"/>
            <w:tcBorders>
              <w:top w:val="single" w:sz="8" w:color="auto"/>
              <w:bottom w:val="single" w:sz="8" w:color="auto"/>
              <w:right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96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980" w:type="dxa"/>
            <w:vAlign w:val="bottom"/>
            <w:tcBorders>
              <w:top w:val="single" w:sz="8" w:color="auto"/>
              <w:bottom w:val="single" w:sz="8" w:color="auto"/>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right w:val="single" w:sz="8" w:color="auto"/>
            </w:tcBorders>
          </w:tcPr>
          <w:p>
            <w:pPr>
              <w:spacing w:after="0"/>
              <w:rPr>
                <w:sz w:val="4"/>
                <w:szCs w:val="4"/>
                <w:color w:val="auto"/>
              </w:rPr>
            </w:pPr>
          </w:p>
        </w:tc>
        <w:tc>
          <w:tcPr>
            <w:tcW w:w="40" w:type="dxa"/>
            <w:vAlign w:val="bottom"/>
            <w:tcBorders>
              <w:top w:val="single" w:sz="8" w:color="auto"/>
              <w:bottom w:val="single" w:sz="8" w:color="auto"/>
              <w:right w:val="single" w:sz="8" w:color="auto"/>
            </w:tcBorders>
          </w:tcPr>
          <w:p>
            <w:pPr>
              <w:spacing w:after="0"/>
              <w:rPr>
                <w:sz w:val="4"/>
                <w:szCs w:val="4"/>
                <w:color w:val="auto"/>
              </w:rPr>
            </w:pPr>
          </w:p>
        </w:tc>
      </w:tr>
      <w:tr>
        <w:trPr>
          <w:trHeight w:val="203"/>
        </w:trPr>
        <w:tc>
          <w:tcPr>
            <w:tcW w:w="6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gridSpan w:val="5"/>
          </w:tcPr>
          <w:p>
            <w:pPr>
              <w:jc w:val="center"/>
              <w:ind w:right="60"/>
              <w:spacing w:after="0" w:line="203" w:lineRule="exact"/>
              <w:rPr>
                <w:sz w:val="20"/>
                <w:szCs w:val="20"/>
                <w:color w:val="auto"/>
              </w:rPr>
            </w:pPr>
            <w:r>
              <w:rPr>
                <w:rFonts w:ascii="Times New Roman" w:cs="Times New Roman" w:eastAsia="Times New Roman" w:hAnsi="Times New Roman"/>
                <w:sz w:val="20"/>
                <w:szCs w:val="20"/>
                <w:color w:val="auto"/>
                <w:w w:val="98"/>
              </w:rPr>
              <w:t>Category</w:t>
            </w:r>
          </w:p>
        </w:tc>
        <w:tc>
          <w:tcPr>
            <w:tcW w:w="160" w:type="dxa"/>
            <w:vAlign w:val="bottom"/>
          </w:tcPr>
          <w:p>
            <w:pPr>
              <w:spacing w:after="0"/>
              <w:rPr>
                <w:sz w:val="17"/>
                <w:szCs w:val="17"/>
                <w:color w:val="auto"/>
              </w:rPr>
            </w:pPr>
          </w:p>
        </w:tc>
        <w:tc>
          <w:tcPr>
            <w:tcW w:w="940" w:type="dxa"/>
            <w:vAlign w:val="bottom"/>
            <w:tcBorders>
              <w:right w:val="single" w:sz="8" w:color="auto"/>
            </w:tcBorders>
            <w:gridSpan w:val="6"/>
          </w:tcPr>
          <w:p>
            <w:pPr>
              <w:jc w:val="center"/>
              <w:ind w:right="160"/>
              <w:spacing w:after="0" w:line="203" w:lineRule="exact"/>
              <w:rPr>
                <w:sz w:val="20"/>
                <w:szCs w:val="20"/>
                <w:color w:val="auto"/>
              </w:rPr>
            </w:pPr>
            <w:r>
              <w:rPr>
                <w:rFonts w:ascii="Times New Roman" w:cs="Times New Roman" w:eastAsia="Times New Roman" w:hAnsi="Times New Roman"/>
                <w:sz w:val="20"/>
                <w:szCs w:val="20"/>
                <w:color w:val="auto"/>
                <w:w w:val="99"/>
              </w:rPr>
              <w:t>Leverage</w:t>
            </w:r>
          </w:p>
        </w:tc>
        <w:tc>
          <w:tcPr>
            <w:tcW w:w="2460" w:type="dxa"/>
            <w:vAlign w:val="bottom"/>
            <w:tcBorders>
              <w:right w:val="single" w:sz="8" w:color="auto"/>
            </w:tcBorders>
            <w:gridSpan w:val="4"/>
          </w:tcPr>
          <w:p>
            <w:pPr>
              <w:jc w:val="center"/>
              <w:ind w:right="20"/>
              <w:spacing w:after="0" w:line="203" w:lineRule="exact"/>
              <w:rPr>
                <w:sz w:val="20"/>
                <w:szCs w:val="20"/>
                <w:color w:val="auto"/>
              </w:rPr>
            </w:pPr>
            <w:r>
              <w:rPr>
                <w:rFonts w:ascii="Times New Roman" w:cs="Times New Roman" w:eastAsia="Times New Roman" w:hAnsi="Times New Roman"/>
                <w:sz w:val="20"/>
                <w:szCs w:val="20"/>
                <w:color w:val="auto"/>
                <w:w w:val="98"/>
              </w:rPr>
              <w:t>Applicable Margin for Term</w:t>
            </w:r>
          </w:p>
        </w:tc>
        <w:tc>
          <w:tcPr>
            <w:tcW w:w="1560" w:type="dxa"/>
            <w:vAlign w:val="bottom"/>
            <w:tcBorders>
              <w:right w:val="single" w:sz="8" w:color="auto"/>
            </w:tcBorders>
            <w:gridSpan w:val="5"/>
          </w:tcPr>
          <w:p>
            <w:pPr>
              <w:jc w:val="center"/>
              <w:ind w:right="20"/>
              <w:spacing w:after="0" w:line="203" w:lineRule="exact"/>
              <w:rPr>
                <w:sz w:val="20"/>
                <w:szCs w:val="20"/>
                <w:color w:val="auto"/>
              </w:rPr>
            </w:pPr>
            <w:r>
              <w:rPr>
                <w:rFonts w:ascii="Times New Roman" w:cs="Times New Roman" w:eastAsia="Times New Roman" w:hAnsi="Times New Roman"/>
                <w:sz w:val="20"/>
                <w:szCs w:val="20"/>
                <w:color w:val="auto"/>
                <w:w w:val="98"/>
              </w:rPr>
              <w:t>Applicable Margin</w:t>
            </w:r>
          </w:p>
        </w:tc>
        <w:tc>
          <w:tcPr>
            <w:tcW w:w="1500" w:type="dxa"/>
            <w:vAlign w:val="bottom"/>
            <w:tcBorders>
              <w:right w:val="single" w:sz="8" w:color="auto"/>
            </w:tcBorders>
            <w:gridSpan w:val="3"/>
          </w:tcPr>
          <w:p>
            <w:pPr>
              <w:jc w:val="center"/>
              <w:ind w:right="40"/>
              <w:spacing w:after="0" w:line="203" w:lineRule="exact"/>
              <w:rPr>
                <w:sz w:val="20"/>
                <w:szCs w:val="20"/>
                <w:color w:val="auto"/>
              </w:rPr>
            </w:pPr>
            <w:r>
              <w:rPr>
                <w:rFonts w:ascii="Times New Roman" w:cs="Times New Roman" w:eastAsia="Times New Roman" w:hAnsi="Times New Roman"/>
                <w:sz w:val="20"/>
                <w:szCs w:val="20"/>
                <w:color w:val="auto"/>
                <w:w w:val="98"/>
              </w:rPr>
              <w:t>Commitment Fee</w:t>
            </w:r>
          </w:p>
        </w:tc>
        <w:tc>
          <w:tcPr>
            <w:tcW w:w="40" w:type="dxa"/>
            <w:vAlign w:val="bottom"/>
            <w:tcBorders>
              <w:right w:val="single" w:sz="8" w:color="auto"/>
            </w:tcBorders>
          </w:tcPr>
          <w:p>
            <w:pPr>
              <w:spacing w:after="0"/>
              <w:rPr>
                <w:sz w:val="17"/>
                <w:szCs w:val="17"/>
                <w:color w:val="auto"/>
              </w:rPr>
            </w:pPr>
          </w:p>
        </w:tc>
      </w:tr>
      <w:tr>
        <w:trPr>
          <w:trHeight w:val="274"/>
        </w:trPr>
        <w:tc>
          <w:tcPr>
            <w:tcW w:w="60" w:type="dxa"/>
            <w:vAlign w:val="bottom"/>
            <w:tcBorders>
              <w:left w:val="single" w:sz="8" w:color="auto"/>
              <w:right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Borders>
              <w:right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20"/>
                <w:szCs w:val="20"/>
                <w:color w:val="auto"/>
                <w:w w:val="96"/>
              </w:rPr>
              <w:t>Ratio</w:t>
            </w:r>
          </w:p>
        </w:tc>
        <w:tc>
          <w:tcPr>
            <w:tcW w:w="2460" w:type="dxa"/>
            <w:vAlign w:val="bottom"/>
            <w:tcBorders>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20"/>
                <w:szCs w:val="20"/>
                <w:color w:val="auto"/>
                <w:w w:val="98"/>
              </w:rPr>
              <w:t>Benchmark Loans and, if</w:t>
            </w:r>
          </w:p>
        </w:tc>
        <w:tc>
          <w:tcPr>
            <w:tcW w:w="1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20"/>
                <w:szCs w:val="20"/>
                <w:color w:val="auto"/>
                <w:w w:val="98"/>
              </w:rPr>
              <w:t>for ABR Loans</w:t>
            </w:r>
          </w:p>
        </w:tc>
        <w:tc>
          <w:tcPr>
            <w:tcW w:w="440" w:type="dxa"/>
            <w:vAlign w:val="bottom"/>
          </w:tcPr>
          <w:p>
            <w:pPr>
              <w:spacing w:after="0"/>
              <w:rPr>
                <w:sz w:val="23"/>
                <w:szCs w:val="23"/>
                <w:color w:val="auto"/>
              </w:rPr>
            </w:pPr>
          </w:p>
        </w:tc>
        <w:tc>
          <w:tcPr>
            <w:tcW w:w="1060" w:type="dxa"/>
            <w:vAlign w:val="bottom"/>
            <w:tcBorders>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20"/>
                <w:szCs w:val="20"/>
                <w:color w:val="auto"/>
                <w:w w:val="98"/>
              </w:rPr>
              <w:t>Rate</w:t>
            </w:r>
          </w:p>
        </w:tc>
        <w:tc>
          <w:tcPr>
            <w:tcW w:w="40" w:type="dxa"/>
            <w:vAlign w:val="bottom"/>
            <w:tcBorders>
              <w:right w:val="single" w:sz="8" w:color="auto"/>
            </w:tcBorders>
          </w:tcPr>
          <w:p>
            <w:pPr>
              <w:spacing w:after="0"/>
              <w:rPr>
                <w:sz w:val="23"/>
                <w:szCs w:val="23"/>
                <w:color w:val="auto"/>
              </w:rPr>
            </w:pPr>
          </w:p>
        </w:tc>
      </w:tr>
      <w:tr>
        <w:trPr>
          <w:trHeight w:val="258"/>
        </w:trPr>
        <w:tc>
          <w:tcPr>
            <w:tcW w:w="60" w:type="dxa"/>
            <w:vAlign w:val="bottom"/>
            <w:tcBorders>
              <w:left w:val="single" w:sz="8" w:color="auto"/>
              <w:righ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w w:val="98"/>
              </w:rPr>
              <w:t>applicable, RFR Loans</w:t>
            </w: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r>
      <w:tr>
        <w:trPr>
          <w:trHeight w:val="250"/>
        </w:trPr>
        <w:tc>
          <w:tcPr>
            <w:tcW w:w="60" w:type="dxa"/>
            <w:vAlign w:val="bottom"/>
            <w:tcBorders>
              <w:left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r>
      <w:tr>
        <w:trPr>
          <w:trHeight w:val="210"/>
        </w:trPr>
        <w:tc>
          <w:tcPr>
            <w:tcW w:w="6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Borders>
              <w:right w:val="single" w:sz="8" w:color="auto"/>
            </w:tcBorders>
            <w:gridSpan w:val="4"/>
          </w:tcPr>
          <w:p>
            <w:pPr>
              <w:jc w:val="center"/>
              <w:ind w:right="380"/>
              <w:spacing w:after="0" w:line="209" w:lineRule="exact"/>
              <w:rPr>
                <w:sz w:val="20"/>
                <w:szCs w:val="20"/>
                <w:color w:val="auto"/>
              </w:rPr>
            </w:pPr>
            <w:r>
              <w:rPr>
                <w:rFonts w:ascii="Times New Roman" w:cs="Times New Roman" w:eastAsia="Times New Roman" w:hAnsi="Times New Roman"/>
                <w:sz w:val="20"/>
                <w:szCs w:val="20"/>
                <w:color w:val="auto"/>
                <w:w w:val="89"/>
              </w:rPr>
              <w:t>I</w:t>
            </w:r>
          </w:p>
        </w:tc>
        <w:tc>
          <w:tcPr>
            <w:tcW w:w="940" w:type="dxa"/>
            <w:vAlign w:val="bottom"/>
            <w:gridSpan w:val="6"/>
          </w:tcPr>
          <w:p>
            <w:pPr>
              <w:jc w:val="center"/>
              <w:ind w:left="81"/>
              <w:spacing w:after="0" w:line="209" w:lineRule="exact"/>
              <w:rPr>
                <w:sz w:val="20"/>
                <w:szCs w:val="20"/>
                <w:color w:val="auto"/>
              </w:rPr>
            </w:pPr>
            <w:r>
              <w:rPr>
                <w:rFonts w:ascii="Times New Roman" w:cs="Times New Roman" w:eastAsia="Times New Roman" w:hAnsi="Times New Roman"/>
                <w:sz w:val="20"/>
                <w:szCs w:val="20"/>
                <w:color w:val="auto"/>
              </w:rPr>
              <w:t>&lt;30%</w:t>
            </w:r>
          </w:p>
        </w:tc>
        <w:tc>
          <w:tcPr>
            <w:tcW w:w="160" w:type="dxa"/>
            <w:vAlign w:val="bottom"/>
            <w:tcBorders>
              <w:right w:val="single" w:sz="8" w:color="auto"/>
            </w:tcBorders>
          </w:tcPr>
          <w:p>
            <w:pPr>
              <w:spacing w:after="0"/>
              <w:rPr>
                <w:sz w:val="18"/>
                <w:szCs w:val="18"/>
                <w:color w:val="auto"/>
              </w:rPr>
            </w:pPr>
          </w:p>
        </w:tc>
        <w:tc>
          <w:tcPr>
            <w:tcW w:w="11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2.35</w:t>
            </w:r>
          </w:p>
        </w:tc>
        <w:tc>
          <w:tcPr>
            <w:tcW w:w="1320" w:type="dxa"/>
            <w:vAlign w:val="bottom"/>
            <w:tcBorders>
              <w:right w:val="single" w:sz="8" w:color="auto"/>
            </w:tcBorders>
            <w:gridSpan w:val="2"/>
          </w:tcPr>
          <w:p>
            <w:pPr>
              <w:jc w:val="right"/>
              <w:ind w:right="800"/>
              <w:spacing w:after="0" w:line="209" w:lineRule="exact"/>
              <w:rPr>
                <w:sz w:val="20"/>
                <w:szCs w:val="20"/>
                <w:color w:val="auto"/>
              </w:rPr>
            </w:pPr>
            <w:r>
              <w:rPr>
                <w:rFonts w:ascii="Times New Roman" w:cs="Times New Roman" w:eastAsia="Times New Roman" w:hAnsi="Times New Roman"/>
                <w:sz w:val="20"/>
                <w:szCs w:val="20"/>
                <w:color w:val="0000FF"/>
                <w:w w:val="96"/>
              </w:rPr>
              <w:t>2.15</w:t>
            </w:r>
            <w:r>
              <w:rPr>
                <w:rFonts w:ascii="Times New Roman" w:cs="Times New Roman" w:eastAsia="Times New Roman" w:hAnsi="Times New Roman"/>
                <w:sz w:val="20"/>
                <w:szCs w:val="20"/>
                <w:color w:val="000000"/>
                <w:w w:val="96"/>
              </w:rPr>
              <w:t>%</w:t>
            </w:r>
          </w:p>
        </w:tc>
        <w:tc>
          <w:tcPr>
            <w:tcW w:w="68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1.35</w:t>
            </w:r>
          </w:p>
        </w:tc>
        <w:tc>
          <w:tcPr>
            <w:tcW w:w="880" w:type="dxa"/>
            <w:vAlign w:val="bottom"/>
            <w:tcBorders>
              <w:right w:val="single" w:sz="8" w:color="auto"/>
            </w:tcBorders>
            <w:gridSpan w:val="3"/>
          </w:tcPr>
          <w:p>
            <w:pPr>
              <w:jc w:val="right"/>
              <w:ind w:right="360"/>
              <w:spacing w:after="0" w:line="209" w:lineRule="exact"/>
              <w:rPr>
                <w:sz w:val="20"/>
                <w:szCs w:val="20"/>
                <w:color w:val="auto"/>
              </w:rPr>
            </w:pPr>
            <w:r>
              <w:rPr>
                <w:rFonts w:ascii="Times New Roman" w:cs="Times New Roman" w:eastAsia="Times New Roman" w:hAnsi="Times New Roman"/>
                <w:sz w:val="20"/>
                <w:szCs w:val="20"/>
                <w:color w:val="0000FF"/>
                <w:w w:val="96"/>
              </w:rPr>
              <w:t>1.15</w:t>
            </w:r>
            <w:r>
              <w:rPr>
                <w:rFonts w:ascii="Times New Roman" w:cs="Times New Roman" w:eastAsia="Times New Roman" w:hAnsi="Times New Roman"/>
                <w:sz w:val="20"/>
                <w:szCs w:val="20"/>
                <w:color w:val="000000"/>
                <w:w w:val="96"/>
              </w:rPr>
              <w:t>%</w:t>
            </w:r>
          </w:p>
        </w:tc>
        <w:tc>
          <w:tcPr>
            <w:tcW w:w="1040" w:type="dxa"/>
            <w:vAlign w:val="bottom"/>
            <w:gridSpan w:val="2"/>
          </w:tcPr>
          <w:p>
            <w:pPr>
              <w:jc w:val="center"/>
              <w:ind w:left="341"/>
              <w:spacing w:after="0" w:line="209" w:lineRule="exact"/>
              <w:rPr>
                <w:sz w:val="20"/>
                <w:szCs w:val="20"/>
                <w:color w:val="auto"/>
              </w:rPr>
            </w:pPr>
            <w:r>
              <w:rPr>
                <w:rFonts w:ascii="Times New Roman" w:cs="Times New Roman" w:eastAsia="Times New Roman" w:hAnsi="Times New Roman"/>
                <w:sz w:val="20"/>
                <w:szCs w:val="20"/>
                <w:color w:val="auto"/>
              </w:rPr>
              <w:t>0.25%</w:t>
            </w:r>
          </w:p>
        </w:tc>
        <w:tc>
          <w:tcPr>
            <w:tcW w:w="46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77"/>
        </w:trPr>
        <w:tc>
          <w:tcPr>
            <w:tcW w:w="60" w:type="dxa"/>
            <w:vAlign w:val="bottom"/>
            <w:tcBorders>
              <w:left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top w:val="single" w:sz="8" w:color="0000FF"/>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top w:val="single" w:sz="8" w:color="0000FF"/>
              <w:bottom w:val="single" w:sz="8" w:color="auto"/>
            </w:tcBorders>
          </w:tcPr>
          <w:p>
            <w:pPr>
              <w:spacing w:after="0"/>
              <w:rPr>
                <w:sz w:val="24"/>
                <w:szCs w:val="24"/>
                <w:color w:val="auto"/>
              </w:rPr>
            </w:pPr>
          </w:p>
        </w:tc>
        <w:tc>
          <w:tcPr>
            <w:tcW w:w="20" w:type="dxa"/>
            <w:vAlign w:val="bottom"/>
            <w:tcBorders>
              <w:top w:val="single" w:sz="8" w:color="0000FF"/>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03"/>
        </w:trPr>
        <w:tc>
          <w:tcPr>
            <w:tcW w:w="6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Borders>
              <w:right w:val="single" w:sz="8" w:color="auto"/>
            </w:tcBorders>
            <w:gridSpan w:val="4"/>
          </w:tcPr>
          <w:p>
            <w:pPr>
              <w:jc w:val="center"/>
              <w:ind w:right="380"/>
              <w:spacing w:after="0" w:line="196" w:lineRule="exact"/>
              <w:rPr>
                <w:sz w:val="20"/>
                <w:szCs w:val="20"/>
                <w:color w:val="auto"/>
              </w:rPr>
            </w:pPr>
            <w:r>
              <w:rPr>
                <w:rFonts w:ascii="Times New Roman" w:cs="Times New Roman" w:eastAsia="Times New Roman" w:hAnsi="Times New Roman"/>
                <w:sz w:val="20"/>
                <w:szCs w:val="20"/>
                <w:color w:val="auto"/>
              </w:rPr>
              <w:t>II</w:t>
            </w:r>
          </w:p>
        </w:tc>
        <w:tc>
          <w:tcPr>
            <w:tcW w:w="1100" w:type="dxa"/>
            <w:vAlign w:val="bottom"/>
            <w:tcBorders>
              <w:right w:val="single" w:sz="8" w:color="auto"/>
            </w:tcBorders>
            <w:gridSpan w:val="7"/>
          </w:tcPr>
          <w:p>
            <w:pPr>
              <w:jc w:val="center"/>
              <w:spacing w:after="0" w:line="196" w:lineRule="exact"/>
              <w:rPr>
                <w:sz w:val="20"/>
                <w:szCs w:val="20"/>
                <w:color w:val="auto"/>
              </w:rPr>
            </w:pPr>
            <w:r>
              <w:rPr>
                <w:rFonts w:ascii="Times New Roman" w:cs="Times New Roman" w:eastAsia="Times New Roman" w:hAnsi="Times New Roman"/>
                <w:sz w:val="20"/>
                <w:szCs w:val="20"/>
                <w:color w:val="auto"/>
                <w:w w:val="98"/>
              </w:rPr>
              <w:t>≥30 % but</w:t>
            </w:r>
          </w:p>
        </w:tc>
        <w:tc>
          <w:tcPr>
            <w:tcW w:w="11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20"/>
                <w:szCs w:val="20"/>
                <w:color w:val="FF0000"/>
                <w:strike w:val="1"/>
              </w:rPr>
              <w:t>2.60</w:t>
            </w:r>
          </w:p>
        </w:tc>
        <w:tc>
          <w:tcPr>
            <w:tcW w:w="1320" w:type="dxa"/>
            <w:vAlign w:val="bottom"/>
            <w:tcBorders>
              <w:right w:val="single" w:sz="8" w:color="auto"/>
            </w:tcBorders>
            <w:gridSpan w:val="2"/>
          </w:tcPr>
          <w:p>
            <w:pPr>
              <w:jc w:val="right"/>
              <w:ind w:right="800"/>
              <w:spacing w:after="0" w:line="196" w:lineRule="exact"/>
              <w:rPr>
                <w:sz w:val="20"/>
                <w:szCs w:val="20"/>
                <w:color w:val="auto"/>
              </w:rPr>
            </w:pPr>
            <w:r>
              <w:rPr>
                <w:rFonts w:ascii="Times New Roman" w:cs="Times New Roman" w:eastAsia="Times New Roman" w:hAnsi="Times New Roman"/>
                <w:sz w:val="20"/>
                <w:szCs w:val="20"/>
                <w:color w:val="0000FF"/>
                <w:w w:val="96"/>
              </w:rPr>
              <w:t>2.40</w:t>
            </w:r>
            <w:r>
              <w:rPr>
                <w:rFonts w:ascii="Times New Roman" w:cs="Times New Roman" w:eastAsia="Times New Roman" w:hAnsi="Times New Roman"/>
                <w:sz w:val="20"/>
                <w:szCs w:val="20"/>
                <w:color w:val="000000"/>
                <w:w w:val="96"/>
              </w:rPr>
              <w:t>%</w:t>
            </w:r>
          </w:p>
        </w:tc>
        <w:tc>
          <w:tcPr>
            <w:tcW w:w="6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20"/>
                <w:szCs w:val="20"/>
                <w:color w:val="FF0000"/>
                <w:strike w:val="1"/>
              </w:rPr>
              <w:t>1.60</w:t>
            </w:r>
          </w:p>
        </w:tc>
        <w:tc>
          <w:tcPr>
            <w:tcW w:w="880" w:type="dxa"/>
            <w:vAlign w:val="bottom"/>
            <w:tcBorders>
              <w:right w:val="single" w:sz="8" w:color="auto"/>
            </w:tcBorders>
            <w:gridSpan w:val="3"/>
          </w:tcPr>
          <w:p>
            <w:pPr>
              <w:jc w:val="right"/>
              <w:ind w:right="360"/>
              <w:spacing w:after="0" w:line="196" w:lineRule="exact"/>
              <w:rPr>
                <w:sz w:val="20"/>
                <w:szCs w:val="20"/>
                <w:color w:val="auto"/>
              </w:rPr>
            </w:pPr>
            <w:r>
              <w:rPr>
                <w:rFonts w:ascii="Times New Roman" w:cs="Times New Roman" w:eastAsia="Times New Roman" w:hAnsi="Times New Roman"/>
                <w:sz w:val="20"/>
                <w:szCs w:val="20"/>
                <w:color w:val="0000FF"/>
                <w:w w:val="96"/>
              </w:rPr>
              <w:t>1.40</w:t>
            </w:r>
            <w:r>
              <w:rPr>
                <w:rFonts w:ascii="Times New Roman" w:cs="Times New Roman" w:eastAsia="Times New Roman" w:hAnsi="Times New Roman"/>
                <w:sz w:val="20"/>
                <w:szCs w:val="20"/>
                <w:color w:val="000000"/>
                <w:w w:val="96"/>
              </w:rPr>
              <w:t>%</w:t>
            </w:r>
          </w:p>
        </w:tc>
        <w:tc>
          <w:tcPr>
            <w:tcW w:w="1040" w:type="dxa"/>
            <w:vAlign w:val="bottom"/>
            <w:gridSpan w:val="2"/>
          </w:tcPr>
          <w:p>
            <w:pPr>
              <w:jc w:val="center"/>
              <w:ind w:left="341"/>
              <w:spacing w:after="0" w:line="196" w:lineRule="exact"/>
              <w:rPr>
                <w:sz w:val="20"/>
                <w:szCs w:val="20"/>
                <w:color w:val="auto"/>
              </w:rPr>
            </w:pPr>
            <w:r>
              <w:rPr>
                <w:rFonts w:ascii="Times New Roman" w:cs="Times New Roman" w:eastAsia="Times New Roman" w:hAnsi="Times New Roman"/>
                <w:sz w:val="20"/>
                <w:szCs w:val="20"/>
                <w:color w:val="auto"/>
              </w:rPr>
              <w:t>0.30%</w:t>
            </w:r>
          </w:p>
        </w:tc>
        <w:tc>
          <w:tcPr>
            <w:tcW w:w="460" w:type="dxa"/>
            <w:vAlign w:val="bottom"/>
            <w:tcBorders>
              <w:right w:val="single" w:sz="8" w:color="auto"/>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r>
      <w:tr>
        <w:trPr>
          <w:trHeight w:val="231"/>
        </w:trPr>
        <w:tc>
          <w:tcPr>
            <w:tcW w:w="60" w:type="dxa"/>
            <w:vAlign w:val="bottom"/>
            <w:tcBorders>
              <w:left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940" w:type="dxa"/>
            <w:vAlign w:val="bottom"/>
            <w:gridSpan w:val="6"/>
          </w:tcPr>
          <w:p>
            <w:pPr>
              <w:jc w:val="center"/>
              <w:ind w:left="81"/>
              <w:spacing w:after="0"/>
              <w:rPr>
                <w:sz w:val="20"/>
                <w:szCs w:val="20"/>
                <w:color w:val="auto"/>
              </w:rPr>
            </w:pPr>
            <w:r>
              <w:rPr>
                <w:rFonts w:ascii="Times New Roman" w:cs="Times New Roman" w:eastAsia="Times New Roman" w:hAnsi="Times New Roman"/>
                <w:sz w:val="20"/>
                <w:szCs w:val="20"/>
                <w:color w:val="auto"/>
              </w:rPr>
              <w:t>&lt;40%</w:t>
            </w:r>
          </w:p>
        </w:tc>
        <w:tc>
          <w:tcPr>
            <w:tcW w:w="16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52"/>
        </w:trPr>
        <w:tc>
          <w:tcPr>
            <w:tcW w:w="60" w:type="dxa"/>
            <w:vAlign w:val="bottom"/>
            <w:tcBorders>
              <w:left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Borders>
              <w:right w:val="single" w:sz="8" w:color="auto"/>
            </w:tcBorders>
            <w:gridSpan w:val="4"/>
          </w:tcPr>
          <w:p>
            <w:pPr>
              <w:jc w:val="center"/>
              <w:ind w:right="400"/>
              <w:spacing w:after="0" w:line="209" w:lineRule="exact"/>
              <w:rPr>
                <w:sz w:val="20"/>
                <w:szCs w:val="20"/>
                <w:color w:val="auto"/>
              </w:rPr>
            </w:pPr>
            <w:r>
              <w:rPr>
                <w:rFonts w:ascii="Times New Roman" w:cs="Times New Roman" w:eastAsia="Times New Roman" w:hAnsi="Times New Roman"/>
                <w:sz w:val="20"/>
                <w:szCs w:val="20"/>
                <w:color w:val="auto"/>
                <w:w w:val="99"/>
              </w:rPr>
              <w:t>III</w:t>
            </w:r>
          </w:p>
        </w:tc>
        <w:tc>
          <w:tcPr>
            <w:tcW w:w="1100" w:type="dxa"/>
            <w:vAlign w:val="bottom"/>
            <w:tcBorders>
              <w:right w:val="single" w:sz="8" w:color="auto"/>
            </w:tcBorders>
            <w:gridSpan w:val="7"/>
          </w:tcPr>
          <w:p>
            <w:pPr>
              <w:jc w:val="center"/>
              <w:spacing w:after="0" w:line="209" w:lineRule="exact"/>
              <w:rPr>
                <w:sz w:val="20"/>
                <w:szCs w:val="20"/>
                <w:color w:val="auto"/>
              </w:rPr>
            </w:pPr>
            <w:r>
              <w:rPr>
                <w:rFonts w:ascii="Times New Roman" w:cs="Times New Roman" w:eastAsia="Times New Roman" w:hAnsi="Times New Roman"/>
                <w:sz w:val="20"/>
                <w:szCs w:val="20"/>
                <w:color w:val="auto"/>
                <w:w w:val="98"/>
              </w:rPr>
              <w:t>≥40 % but</w:t>
            </w:r>
          </w:p>
        </w:tc>
        <w:tc>
          <w:tcPr>
            <w:tcW w:w="11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2.85</w:t>
            </w:r>
          </w:p>
        </w:tc>
        <w:tc>
          <w:tcPr>
            <w:tcW w:w="1320" w:type="dxa"/>
            <w:vAlign w:val="bottom"/>
            <w:tcBorders>
              <w:right w:val="single" w:sz="8" w:color="auto"/>
            </w:tcBorders>
            <w:gridSpan w:val="2"/>
          </w:tcPr>
          <w:p>
            <w:pPr>
              <w:jc w:val="right"/>
              <w:ind w:right="800"/>
              <w:spacing w:after="0" w:line="209" w:lineRule="exact"/>
              <w:rPr>
                <w:sz w:val="20"/>
                <w:szCs w:val="20"/>
                <w:color w:val="auto"/>
              </w:rPr>
            </w:pPr>
            <w:r>
              <w:rPr>
                <w:rFonts w:ascii="Times New Roman" w:cs="Times New Roman" w:eastAsia="Times New Roman" w:hAnsi="Times New Roman"/>
                <w:sz w:val="20"/>
                <w:szCs w:val="20"/>
                <w:color w:val="0000FF"/>
                <w:w w:val="96"/>
              </w:rPr>
              <w:t>2.60</w:t>
            </w:r>
            <w:r>
              <w:rPr>
                <w:rFonts w:ascii="Times New Roman" w:cs="Times New Roman" w:eastAsia="Times New Roman" w:hAnsi="Times New Roman"/>
                <w:sz w:val="20"/>
                <w:szCs w:val="20"/>
                <w:color w:val="000000"/>
                <w:w w:val="96"/>
              </w:rPr>
              <w:t>%</w:t>
            </w:r>
          </w:p>
        </w:tc>
        <w:tc>
          <w:tcPr>
            <w:tcW w:w="68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1.85</w:t>
            </w:r>
          </w:p>
        </w:tc>
        <w:tc>
          <w:tcPr>
            <w:tcW w:w="880" w:type="dxa"/>
            <w:vAlign w:val="bottom"/>
            <w:tcBorders>
              <w:right w:val="single" w:sz="8" w:color="auto"/>
            </w:tcBorders>
            <w:gridSpan w:val="3"/>
          </w:tcPr>
          <w:p>
            <w:pPr>
              <w:jc w:val="right"/>
              <w:ind w:right="360"/>
              <w:spacing w:after="0" w:line="209" w:lineRule="exact"/>
              <w:rPr>
                <w:sz w:val="20"/>
                <w:szCs w:val="20"/>
                <w:color w:val="auto"/>
              </w:rPr>
            </w:pPr>
            <w:r>
              <w:rPr>
                <w:rFonts w:ascii="Times New Roman" w:cs="Times New Roman" w:eastAsia="Times New Roman" w:hAnsi="Times New Roman"/>
                <w:sz w:val="20"/>
                <w:szCs w:val="20"/>
                <w:color w:val="0000FF"/>
                <w:w w:val="96"/>
              </w:rPr>
              <w:t>1.60</w:t>
            </w:r>
            <w:r>
              <w:rPr>
                <w:rFonts w:ascii="Times New Roman" w:cs="Times New Roman" w:eastAsia="Times New Roman" w:hAnsi="Times New Roman"/>
                <w:sz w:val="20"/>
                <w:szCs w:val="20"/>
                <w:color w:val="000000"/>
                <w:w w:val="96"/>
              </w:rPr>
              <w:t>%</w:t>
            </w:r>
          </w:p>
        </w:tc>
        <w:tc>
          <w:tcPr>
            <w:tcW w:w="1040" w:type="dxa"/>
            <w:vAlign w:val="bottom"/>
            <w:gridSpan w:val="2"/>
          </w:tcPr>
          <w:p>
            <w:pPr>
              <w:jc w:val="center"/>
              <w:ind w:left="341"/>
              <w:spacing w:after="0" w:line="209" w:lineRule="exact"/>
              <w:rPr>
                <w:sz w:val="20"/>
                <w:szCs w:val="20"/>
                <w:color w:val="auto"/>
              </w:rPr>
            </w:pPr>
            <w:r>
              <w:rPr>
                <w:rFonts w:ascii="Times New Roman" w:cs="Times New Roman" w:eastAsia="Times New Roman" w:hAnsi="Times New Roman"/>
                <w:sz w:val="20"/>
                <w:szCs w:val="20"/>
                <w:color w:val="auto"/>
              </w:rPr>
              <w:t>0.35%</w:t>
            </w:r>
          </w:p>
        </w:tc>
        <w:tc>
          <w:tcPr>
            <w:tcW w:w="46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3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&lt;</w:t>
            </w:r>
          </w:p>
        </w:tc>
        <w:tc>
          <w:tcPr>
            <w:tcW w:w="2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50</w:t>
            </w:r>
          </w:p>
        </w:tc>
        <w:tc>
          <w:tcPr>
            <w:tcW w:w="42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20"/>
                <w:szCs w:val="20"/>
                <w:color w:val="0000FF"/>
                <w:w w:val="92"/>
              </w:rPr>
              <w:t>45</w:t>
            </w:r>
            <w:r>
              <w:rPr>
                <w:rFonts w:ascii="Times New Roman" w:cs="Times New Roman" w:eastAsia="Times New Roman" w:hAnsi="Times New Roman"/>
                <w:sz w:val="20"/>
                <w:szCs w:val="20"/>
                <w:color w:val="000000"/>
                <w:w w:val="92"/>
              </w:rPr>
              <w:t>%</w:t>
            </w:r>
          </w:p>
        </w:tc>
        <w:tc>
          <w:tcPr>
            <w:tcW w:w="1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63"/>
        </w:trPr>
        <w:tc>
          <w:tcPr>
            <w:tcW w:w="60" w:type="dxa"/>
            <w:vAlign w:val="bottom"/>
            <w:tcBorders>
              <w:left w:val="single" w:sz="8" w:color="auto"/>
              <w:bottom w:val="single" w:sz="8" w:color="E6E6FA"/>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0" w:type="dxa"/>
            <w:vAlign w:val="bottom"/>
            <w:tcBorders>
              <w:top w:val="single" w:sz="8" w:color="0000FF"/>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right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r>
      <w:tr>
        <w:trPr>
          <w:trHeight w:val="196"/>
        </w:trPr>
        <w:tc>
          <w:tcPr>
            <w:tcW w:w="60" w:type="dxa"/>
            <w:vAlign w:val="bottom"/>
            <w:tcBorders>
              <w:left w:val="single" w:sz="8" w:color="auto"/>
              <w:right w:val="single" w:sz="8" w:color="auto"/>
            </w:tcBorders>
            <w:shd w:val="clear" w:color="auto" w:fill="E6E6FA"/>
          </w:tcPr>
          <w:p>
            <w:pPr>
              <w:spacing w:after="0"/>
              <w:rPr>
                <w:sz w:val="17"/>
                <w:szCs w:val="17"/>
                <w:color w:val="auto"/>
              </w:rPr>
            </w:pPr>
          </w:p>
        </w:tc>
        <w:tc>
          <w:tcPr>
            <w:tcW w:w="940" w:type="dxa"/>
            <w:vAlign w:val="bottom"/>
            <w:tcBorders>
              <w:right w:val="single" w:sz="8" w:color="auto"/>
            </w:tcBorders>
            <w:gridSpan w:val="5"/>
            <w:shd w:val="clear" w:color="auto" w:fill="E6E6FA"/>
          </w:tcPr>
          <w:p>
            <w:pPr>
              <w:jc w:val="center"/>
              <w:ind w:right="40"/>
              <w:spacing w:after="0" w:line="196" w:lineRule="exact"/>
              <w:rPr>
                <w:sz w:val="20"/>
                <w:szCs w:val="20"/>
                <w:color w:val="auto"/>
              </w:rPr>
            </w:pPr>
            <w:r>
              <w:rPr>
                <w:rFonts w:ascii="Times New Roman" w:cs="Times New Roman" w:eastAsia="Times New Roman" w:hAnsi="Times New Roman"/>
                <w:sz w:val="20"/>
                <w:szCs w:val="20"/>
                <w:color w:val="0000FF"/>
              </w:rPr>
              <w:t>IV</w:t>
            </w:r>
          </w:p>
        </w:tc>
        <w:tc>
          <w:tcPr>
            <w:tcW w:w="1100" w:type="dxa"/>
            <w:vAlign w:val="bottom"/>
            <w:tcBorders>
              <w:right w:val="single" w:sz="8" w:color="auto"/>
            </w:tcBorders>
            <w:gridSpan w:val="7"/>
            <w:shd w:val="clear" w:color="auto" w:fill="E6E6FA"/>
          </w:tcPr>
          <w:p>
            <w:pPr>
              <w:jc w:val="center"/>
              <w:spacing w:after="0" w:line="196" w:lineRule="exact"/>
              <w:rPr>
                <w:sz w:val="20"/>
                <w:szCs w:val="20"/>
                <w:color w:val="auto"/>
              </w:rPr>
            </w:pPr>
            <w:r>
              <w:rPr>
                <w:rFonts w:ascii="Times New Roman" w:cs="Times New Roman" w:eastAsia="Times New Roman" w:hAnsi="Times New Roman"/>
                <w:sz w:val="20"/>
                <w:szCs w:val="20"/>
                <w:color w:val="0000FF"/>
                <w:w w:val="99"/>
              </w:rPr>
              <w:t>≥45% but</w:t>
            </w:r>
          </w:p>
        </w:tc>
        <w:tc>
          <w:tcPr>
            <w:tcW w:w="1480" w:type="dxa"/>
            <w:vAlign w:val="bottom"/>
            <w:gridSpan w:val="3"/>
            <w:shd w:val="clear" w:color="auto" w:fill="E6E6FA"/>
          </w:tcPr>
          <w:p>
            <w:pPr>
              <w:jc w:val="center"/>
              <w:ind w:left="861"/>
              <w:spacing w:after="0" w:line="196" w:lineRule="exact"/>
              <w:rPr>
                <w:sz w:val="20"/>
                <w:szCs w:val="20"/>
                <w:color w:val="auto"/>
              </w:rPr>
            </w:pPr>
            <w:r>
              <w:rPr>
                <w:rFonts w:ascii="Times New Roman" w:cs="Times New Roman" w:eastAsia="Times New Roman" w:hAnsi="Times New Roman"/>
                <w:sz w:val="20"/>
                <w:szCs w:val="20"/>
                <w:color w:val="0000FF"/>
              </w:rPr>
              <w:t>2.75%</w:t>
            </w:r>
          </w:p>
        </w:tc>
        <w:tc>
          <w:tcPr>
            <w:tcW w:w="980" w:type="dxa"/>
            <w:vAlign w:val="bottom"/>
            <w:tcBorders>
              <w:right w:val="single" w:sz="8" w:color="auto"/>
            </w:tcBorders>
            <w:shd w:val="clear" w:color="auto" w:fill="E6E6FA"/>
          </w:tcPr>
          <w:p>
            <w:pPr>
              <w:spacing w:after="0"/>
              <w:rPr>
                <w:sz w:val="17"/>
                <w:szCs w:val="17"/>
                <w:color w:val="auto"/>
              </w:rPr>
            </w:pPr>
          </w:p>
        </w:tc>
        <w:tc>
          <w:tcPr>
            <w:tcW w:w="1040" w:type="dxa"/>
            <w:vAlign w:val="bottom"/>
            <w:gridSpan w:val="4"/>
            <w:shd w:val="clear" w:color="auto" w:fill="E6E6FA"/>
          </w:tcPr>
          <w:p>
            <w:pPr>
              <w:jc w:val="center"/>
              <w:ind w:left="401"/>
              <w:spacing w:after="0" w:line="196" w:lineRule="exact"/>
              <w:rPr>
                <w:sz w:val="20"/>
                <w:szCs w:val="20"/>
                <w:color w:val="auto"/>
              </w:rPr>
            </w:pPr>
            <w:r>
              <w:rPr>
                <w:rFonts w:ascii="Times New Roman" w:cs="Times New Roman" w:eastAsia="Times New Roman" w:hAnsi="Times New Roman"/>
                <w:sz w:val="20"/>
                <w:szCs w:val="20"/>
                <w:color w:val="0000FF"/>
                <w:w w:val="96"/>
              </w:rPr>
              <w:t>1.75%</w:t>
            </w:r>
          </w:p>
        </w:tc>
        <w:tc>
          <w:tcPr>
            <w:tcW w:w="520" w:type="dxa"/>
            <w:vAlign w:val="bottom"/>
            <w:tcBorders>
              <w:right w:val="single" w:sz="8" w:color="auto"/>
            </w:tcBorders>
            <w:shd w:val="clear" w:color="auto" w:fill="E6E6FA"/>
          </w:tcPr>
          <w:p>
            <w:pPr>
              <w:spacing w:after="0"/>
              <w:rPr>
                <w:sz w:val="17"/>
                <w:szCs w:val="17"/>
                <w:color w:val="auto"/>
              </w:rPr>
            </w:pPr>
          </w:p>
        </w:tc>
        <w:tc>
          <w:tcPr>
            <w:tcW w:w="1500" w:type="dxa"/>
            <w:vAlign w:val="bottom"/>
            <w:tcBorders>
              <w:right w:val="single" w:sz="8" w:color="auto"/>
            </w:tcBorders>
            <w:gridSpan w:val="3"/>
            <w:shd w:val="clear" w:color="auto" w:fill="E6E6FA"/>
          </w:tcPr>
          <w:p>
            <w:pPr>
              <w:jc w:val="center"/>
              <w:ind w:right="20"/>
              <w:spacing w:after="0" w:line="196" w:lineRule="exact"/>
              <w:rPr>
                <w:sz w:val="20"/>
                <w:szCs w:val="20"/>
                <w:color w:val="auto"/>
              </w:rPr>
            </w:pPr>
            <w:r>
              <w:rPr>
                <w:rFonts w:ascii="Times New Roman" w:cs="Times New Roman" w:eastAsia="Times New Roman" w:hAnsi="Times New Roman"/>
                <w:sz w:val="20"/>
                <w:szCs w:val="20"/>
                <w:color w:val="0000FF"/>
                <w:w w:val="97"/>
              </w:rPr>
              <w:t>0.375%</w:t>
            </w:r>
          </w:p>
        </w:tc>
        <w:tc>
          <w:tcPr>
            <w:tcW w:w="40" w:type="dxa"/>
            <w:vAlign w:val="bottom"/>
            <w:tcBorders>
              <w:right w:val="single" w:sz="8" w:color="auto"/>
            </w:tcBorders>
          </w:tcPr>
          <w:p>
            <w:pPr>
              <w:spacing w:after="0"/>
              <w:rPr>
                <w:sz w:val="17"/>
                <w:szCs w:val="17"/>
                <w:color w:val="auto"/>
              </w:rPr>
            </w:pPr>
          </w:p>
        </w:tc>
      </w:tr>
      <w:tr>
        <w:trPr>
          <w:trHeight w:val="223"/>
        </w:trPr>
        <w:tc>
          <w:tcPr>
            <w:tcW w:w="60" w:type="dxa"/>
            <w:vAlign w:val="bottom"/>
            <w:tcBorders>
              <w:top w:val="single" w:sz="8" w:color="E6E6FA"/>
              <w:left w:val="single" w:sz="8" w:color="auto"/>
              <w:bottom w:val="single" w:sz="8" w:color="E6E6FA"/>
              <w:right w:val="single" w:sz="8" w:color="auto"/>
            </w:tcBorders>
            <w:shd w:val="clear" w:color="auto" w:fill="E6E6FA"/>
          </w:tcPr>
          <w:p>
            <w:pPr>
              <w:spacing w:after="0"/>
              <w:rPr>
                <w:sz w:val="19"/>
                <w:szCs w:val="19"/>
                <w:color w:val="auto"/>
              </w:rPr>
            </w:pPr>
          </w:p>
        </w:tc>
        <w:tc>
          <w:tcPr>
            <w:tcW w:w="340" w:type="dxa"/>
            <w:vAlign w:val="bottom"/>
            <w:tcBorders>
              <w:top w:val="single" w:sz="8" w:color="E6E6FA"/>
              <w:bottom w:val="single" w:sz="8" w:color="auto"/>
            </w:tcBorders>
            <w:shd w:val="clear" w:color="auto" w:fill="E6E6FA"/>
          </w:tcPr>
          <w:p>
            <w:pPr>
              <w:spacing w:after="0"/>
              <w:rPr>
                <w:sz w:val="19"/>
                <w:szCs w:val="19"/>
                <w:color w:val="auto"/>
              </w:rPr>
            </w:pPr>
          </w:p>
        </w:tc>
        <w:tc>
          <w:tcPr>
            <w:tcW w:w="140" w:type="dxa"/>
            <w:vAlign w:val="bottom"/>
            <w:tcBorders>
              <w:top w:val="single" w:sz="8" w:color="0000FF"/>
              <w:bottom w:val="single" w:sz="8" w:color="auto"/>
            </w:tcBorders>
            <w:shd w:val="clear" w:color="auto" w:fill="E6E6FA"/>
          </w:tcPr>
          <w:p>
            <w:pPr>
              <w:spacing w:after="0"/>
              <w:rPr>
                <w:sz w:val="19"/>
                <w:szCs w:val="19"/>
                <w:color w:val="auto"/>
              </w:rPr>
            </w:pPr>
          </w:p>
        </w:tc>
        <w:tc>
          <w:tcPr>
            <w:tcW w:w="80" w:type="dxa"/>
            <w:vAlign w:val="bottom"/>
            <w:tcBorders>
              <w:top w:val="single" w:sz="8" w:color="0000FF"/>
              <w:bottom w:val="single" w:sz="8" w:color="auto"/>
            </w:tcBorders>
            <w:shd w:val="clear" w:color="auto" w:fill="E6E6FA"/>
          </w:tcPr>
          <w:p>
            <w:pPr>
              <w:spacing w:after="0"/>
              <w:rPr>
                <w:sz w:val="19"/>
                <w:szCs w:val="19"/>
                <w:color w:val="auto"/>
              </w:rPr>
            </w:pPr>
          </w:p>
        </w:tc>
        <w:tc>
          <w:tcPr>
            <w:tcW w:w="60" w:type="dxa"/>
            <w:vAlign w:val="bottom"/>
            <w:tcBorders>
              <w:top w:val="single" w:sz="8" w:color="E6E6FA"/>
              <w:bottom w:val="single" w:sz="8" w:color="auto"/>
            </w:tcBorders>
            <w:shd w:val="clear" w:color="auto" w:fill="E6E6FA"/>
          </w:tcPr>
          <w:p>
            <w:pPr>
              <w:spacing w:after="0"/>
              <w:rPr>
                <w:sz w:val="19"/>
                <w:szCs w:val="19"/>
                <w:color w:val="auto"/>
              </w:rPr>
            </w:pPr>
          </w:p>
        </w:tc>
        <w:tc>
          <w:tcPr>
            <w:tcW w:w="320" w:type="dxa"/>
            <w:vAlign w:val="bottom"/>
            <w:tcBorders>
              <w:top w:val="single" w:sz="8" w:color="E6E6FA"/>
              <w:bottom w:val="single" w:sz="8" w:color="auto"/>
              <w:right w:val="single" w:sz="8" w:color="auto"/>
            </w:tcBorders>
            <w:shd w:val="clear" w:color="auto" w:fill="E6E6FA"/>
          </w:tcPr>
          <w:p>
            <w:pPr>
              <w:spacing w:after="0"/>
              <w:rPr>
                <w:sz w:val="19"/>
                <w:szCs w:val="19"/>
                <w:color w:val="auto"/>
              </w:rPr>
            </w:pPr>
          </w:p>
        </w:tc>
        <w:tc>
          <w:tcPr>
            <w:tcW w:w="160" w:type="dxa"/>
            <w:vAlign w:val="bottom"/>
            <w:tcBorders>
              <w:top w:val="single" w:sz="8" w:color="E6E6FA"/>
              <w:bottom w:val="single" w:sz="8" w:color="auto"/>
            </w:tcBorders>
            <w:shd w:val="clear" w:color="auto" w:fill="E6E6FA"/>
          </w:tcPr>
          <w:p>
            <w:pPr>
              <w:spacing w:after="0"/>
              <w:rPr>
                <w:sz w:val="19"/>
                <w:szCs w:val="19"/>
                <w:color w:val="auto"/>
              </w:rPr>
            </w:pPr>
          </w:p>
        </w:tc>
        <w:tc>
          <w:tcPr>
            <w:tcW w:w="780" w:type="dxa"/>
            <w:vAlign w:val="bottom"/>
            <w:tcBorders>
              <w:top w:val="single" w:sz="8" w:color="0000FF"/>
              <w:bottom w:val="single" w:sz="8" w:color="auto"/>
            </w:tcBorders>
            <w:gridSpan w:val="5"/>
            <w:shd w:val="clear" w:color="auto" w:fill="E6E6FA"/>
          </w:tcPr>
          <w:p>
            <w:pPr>
              <w:jc w:val="center"/>
              <w:spacing w:after="0" w:line="183" w:lineRule="exact"/>
              <w:rPr>
                <w:sz w:val="20"/>
                <w:szCs w:val="20"/>
                <w:color w:val="auto"/>
              </w:rPr>
            </w:pPr>
            <w:r>
              <w:rPr>
                <w:rFonts w:ascii="Times New Roman" w:cs="Times New Roman" w:eastAsia="Times New Roman" w:hAnsi="Times New Roman"/>
                <w:sz w:val="20"/>
                <w:szCs w:val="20"/>
                <w:color w:val="0000FF"/>
              </w:rPr>
              <w:t>&lt;50%</w:t>
            </w:r>
          </w:p>
        </w:tc>
        <w:tc>
          <w:tcPr>
            <w:tcW w:w="160" w:type="dxa"/>
            <w:vAlign w:val="bottom"/>
            <w:tcBorders>
              <w:top w:val="single" w:sz="8" w:color="E6E6FA"/>
              <w:bottom w:val="single" w:sz="8" w:color="auto"/>
              <w:right w:val="single" w:sz="8" w:color="auto"/>
            </w:tcBorders>
            <w:shd w:val="clear" w:color="auto" w:fill="E6E6FA"/>
          </w:tcPr>
          <w:p>
            <w:pPr>
              <w:spacing w:after="0"/>
              <w:rPr>
                <w:sz w:val="19"/>
                <w:szCs w:val="19"/>
                <w:color w:val="auto"/>
              </w:rPr>
            </w:pPr>
          </w:p>
        </w:tc>
        <w:tc>
          <w:tcPr>
            <w:tcW w:w="960" w:type="dxa"/>
            <w:vAlign w:val="bottom"/>
            <w:tcBorders>
              <w:top w:val="single" w:sz="8" w:color="E6E6FA"/>
              <w:bottom w:val="single" w:sz="8" w:color="auto"/>
            </w:tcBorders>
            <w:shd w:val="clear" w:color="auto" w:fill="E6E6FA"/>
          </w:tcPr>
          <w:p>
            <w:pPr>
              <w:spacing w:after="0"/>
              <w:rPr>
                <w:sz w:val="19"/>
                <w:szCs w:val="19"/>
                <w:color w:val="auto"/>
              </w:rPr>
            </w:pPr>
          </w:p>
        </w:tc>
        <w:tc>
          <w:tcPr>
            <w:tcW w:w="180" w:type="dxa"/>
            <w:vAlign w:val="bottom"/>
            <w:tcBorders>
              <w:top w:val="single" w:sz="8" w:color="0000FF"/>
              <w:bottom w:val="single" w:sz="8" w:color="auto"/>
            </w:tcBorders>
            <w:shd w:val="clear" w:color="auto" w:fill="E6E6FA"/>
          </w:tcPr>
          <w:p>
            <w:pPr>
              <w:spacing w:after="0"/>
              <w:rPr>
                <w:sz w:val="19"/>
                <w:szCs w:val="19"/>
                <w:color w:val="auto"/>
              </w:rPr>
            </w:pPr>
          </w:p>
        </w:tc>
        <w:tc>
          <w:tcPr>
            <w:tcW w:w="340" w:type="dxa"/>
            <w:vAlign w:val="bottom"/>
            <w:tcBorders>
              <w:top w:val="single" w:sz="8" w:color="0000FF"/>
              <w:bottom w:val="single" w:sz="8" w:color="auto"/>
            </w:tcBorders>
            <w:shd w:val="clear" w:color="auto" w:fill="E6E6FA"/>
          </w:tcPr>
          <w:p>
            <w:pPr>
              <w:spacing w:after="0"/>
              <w:rPr>
                <w:sz w:val="19"/>
                <w:szCs w:val="19"/>
                <w:color w:val="auto"/>
              </w:rPr>
            </w:pPr>
          </w:p>
        </w:tc>
        <w:tc>
          <w:tcPr>
            <w:tcW w:w="980" w:type="dxa"/>
            <w:vAlign w:val="bottom"/>
            <w:tcBorders>
              <w:top w:val="single" w:sz="8" w:color="E6E6FA"/>
              <w:bottom w:val="single" w:sz="8" w:color="auto"/>
              <w:right w:val="single" w:sz="8" w:color="auto"/>
            </w:tcBorders>
            <w:shd w:val="clear" w:color="auto" w:fill="E6E6FA"/>
          </w:tcPr>
          <w:p>
            <w:pPr>
              <w:spacing w:after="0"/>
              <w:rPr>
                <w:sz w:val="19"/>
                <w:szCs w:val="19"/>
                <w:color w:val="auto"/>
              </w:rPr>
            </w:pPr>
          </w:p>
        </w:tc>
        <w:tc>
          <w:tcPr>
            <w:tcW w:w="520" w:type="dxa"/>
            <w:vAlign w:val="bottom"/>
            <w:tcBorders>
              <w:top w:val="single" w:sz="8" w:color="E6E6FA"/>
              <w:bottom w:val="single" w:sz="8" w:color="auto"/>
            </w:tcBorders>
            <w:shd w:val="clear" w:color="auto" w:fill="E6E6FA"/>
          </w:tcPr>
          <w:p>
            <w:pPr>
              <w:spacing w:after="0"/>
              <w:rPr>
                <w:sz w:val="19"/>
                <w:szCs w:val="19"/>
                <w:color w:val="auto"/>
              </w:rPr>
            </w:pPr>
          </w:p>
        </w:tc>
        <w:tc>
          <w:tcPr>
            <w:tcW w:w="160" w:type="dxa"/>
            <w:vAlign w:val="bottom"/>
            <w:tcBorders>
              <w:top w:val="single" w:sz="8" w:color="0000FF"/>
              <w:bottom w:val="single" w:sz="8" w:color="auto"/>
            </w:tcBorders>
            <w:shd w:val="clear" w:color="auto" w:fill="E6E6FA"/>
          </w:tcPr>
          <w:p>
            <w:pPr>
              <w:spacing w:after="0"/>
              <w:rPr>
                <w:sz w:val="19"/>
                <w:szCs w:val="19"/>
                <w:color w:val="auto"/>
              </w:rPr>
            </w:pPr>
          </w:p>
        </w:tc>
        <w:tc>
          <w:tcPr>
            <w:tcW w:w="340" w:type="dxa"/>
            <w:vAlign w:val="bottom"/>
            <w:tcBorders>
              <w:top w:val="single" w:sz="8" w:color="0000FF"/>
              <w:bottom w:val="single" w:sz="8" w:color="auto"/>
            </w:tcBorders>
            <w:shd w:val="clear" w:color="auto" w:fill="E6E6FA"/>
          </w:tcPr>
          <w:p>
            <w:pPr>
              <w:spacing w:after="0"/>
              <w:rPr>
                <w:sz w:val="19"/>
                <w:szCs w:val="19"/>
                <w:color w:val="auto"/>
              </w:rPr>
            </w:pPr>
          </w:p>
        </w:tc>
        <w:tc>
          <w:tcPr>
            <w:tcW w:w="20" w:type="dxa"/>
            <w:vAlign w:val="bottom"/>
            <w:tcBorders>
              <w:top w:val="single" w:sz="8" w:color="E6E6FA"/>
              <w:bottom w:val="single" w:sz="8" w:color="auto"/>
            </w:tcBorders>
            <w:shd w:val="clear" w:color="auto" w:fill="E6E6FA"/>
          </w:tcPr>
          <w:p>
            <w:pPr>
              <w:spacing w:after="0"/>
              <w:rPr>
                <w:sz w:val="19"/>
                <w:szCs w:val="19"/>
                <w:color w:val="auto"/>
              </w:rPr>
            </w:pPr>
          </w:p>
        </w:tc>
        <w:tc>
          <w:tcPr>
            <w:tcW w:w="520" w:type="dxa"/>
            <w:vAlign w:val="bottom"/>
            <w:tcBorders>
              <w:top w:val="single" w:sz="8" w:color="E6E6FA"/>
              <w:bottom w:val="single" w:sz="8" w:color="auto"/>
              <w:right w:val="single" w:sz="8" w:color="auto"/>
            </w:tcBorders>
            <w:shd w:val="clear" w:color="auto" w:fill="E6E6FA"/>
          </w:tcPr>
          <w:p>
            <w:pPr>
              <w:spacing w:after="0"/>
              <w:rPr>
                <w:sz w:val="19"/>
                <w:szCs w:val="19"/>
                <w:color w:val="auto"/>
              </w:rPr>
            </w:pPr>
          </w:p>
        </w:tc>
        <w:tc>
          <w:tcPr>
            <w:tcW w:w="440" w:type="dxa"/>
            <w:vAlign w:val="bottom"/>
            <w:tcBorders>
              <w:top w:val="single" w:sz="8" w:color="E6E6FA"/>
              <w:bottom w:val="single" w:sz="8" w:color="auto"/>
            </w:tcBorders>
            <w:shd w:val="clear" w:color="auto" w:fill="E6E6FA"/>
          </w:tcPr>
          <w:p>
            <w:pPr>
              <w:spacing w:after="0"/>
              <w:rPr>
                <w:sz w:val="19"/>
                <w:szCs w:val="19"/>
                <w:color w:val="auto"/>
              </w:rPr>
            </w:pPr>
          </w:p>
        </w:tc>
        <w:tc>
          <w:tcPr>
            <w:tcW w:w="600" w:type="dxa"/>
            <w:vAlign w:val="bottom"/>
            <w:tcBorders>
              <w:top w:val="single" w:sz="8" w:color="0000FF"/>
              <w:bottom w:val="single" w:sz="8" w:color="auto"/>
            </w:tcBorders>
            <w:shd w:val="clear" w:color="auto" w:fill="E6E6FA"/>
          </w:tcPr>
          <w:p>
            <w:pPr>
              <w:spacing w:after="0"/>
              <w:rPr>
                <w:sz w:val="19"/>
                <w:szCs w:val="19"/>
                <w:color w:val="auto"/>
              </w:rPr>
            </w:pPr>
          </w:p>
        </w:tc>
        <w:tc>
          <w:tcPr>
            <w:tcW w:w="460" w:type="dxa"/>
            <w:vAlign w:val="bottom"/>
            <w:tcBorders>
              <w:top w:val="single" w:sz="8" w:color="E6E6FA"/>
              <w:bottom w:val="single" w:sz="8" w:color="auto"/>
              <w:right w:val="single" w:sz="8" w:color="auto"/>
            </w:tcBorders>
            <w:shd w:val="clear" w:color="auto" w:fill="E6E6FA"/>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480" w:type="dxa"/>
            <w:vAlign w:val="bottom"/>
            <w:gridSpan w:val="2"/>
          </w:tcPr>
          <w:p>
            <w:pPr>
              <w:ind w:left="280"/>
              <w:spacing w:after="0" w:line="209" w:lineRule="exact"/>
              <w:rPr>
                <w:sz w:val="20"/>
                <w:szCs w:val="20"/>
                <w:color w:val="auto"/>
              </w:rPr>
            </w:pPr>
            <w:r>
              <w:rPr>
                <w:rFonts w:ascii="Times New Roman" w:cs="Times New Roman" w:eastAsia="Times New Roman" w:hAnsi="Times New Roman"/>
                <w:sz w:val="20"/>
                <w:szCs w:val="20"/>
                <w:color w:val="FF0000"/>
                <w:strike w:val="1"/>
                <w:w w:val="85"/>
              </w:rPr>
              <w:t>IV</w:t>
            </w:r>
          </w:p>
        </w:tc>
        <w:tc>
          <w:tcPr>
            <w:tcW w:w="460" w:type="dxa"/>
            <w:vAlign w:val="bottom"/>
            <w:tcBorders>
              <w:right w:val="single" w:sz="8" w:color="auto"/>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FF"/>
              </w:rPr>
              <w:t>V</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gridSpan w:val="5"/>
          </w:tcPr>
          <w:p>
            <w:pPr>
              <w:jc w:val="center"/>
              <w:ind w:right="320"/>
              <w:spacing w:after="0" w:line="209" w:lineRule="exact"/>
              <w:rPr>
                <w:sz w:val="20"/>
                <w:szCs w:val="20"/>
                <w:color w:val="auto"/>
              </w:rPr>
            </w:pPr>
            <w:r>
              <w:rPr>
                <w:rFonts w:ascii="Times New Roman" w:cs="Times New Roman" w:eastAsia="Times New Roman" w:hAnsi="Times New Roman"/>
                <w:sz w:val="20"/>
                <w:szCs w:val="20"/>
                <w:color w:val="auto"/>
                <w:w w:val="96"/>
              </w:rPr>
              <w:t>≥50%</w:t>
            </w:r>
          </w:p>
        </w:tc>
        <w:tc>
          <w:tcPr>
            <w:tcW w:w="11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3.10</w:t>
            </w:r>
          </w:p>
        </w:tc>
        <w:tc>
          <w:tcPr>
            <w:tcW w:w="1320" w:type="dxa"/>
            <w:vAlign w:val="bottom"/>
            <w:tcBorders>
              <w:right w:val="single" w:sz="8" w:color="auto"/>
            </w:tcBorders>
            <w:gridSpan w:val="2"/>
          </w:tcPr>
          <w:p>
            <w:pPr>
              <w:jc w:val="right"/>
              <w:ind w:right="800"/>
              <w:spacing w:after="0" w:line="209" w:lineRule="exact"/>
              <w:rPr>
                <w:sz w:val="20"/>
                <w:szCs w:val="20"/>
                <w:color w:val="auto"/>
              </w:rPr>
            </w:pPr>
            <w:r>
              <w:rPr>
                <w:rFonts w:ascii="Times New Roman" w:cs="Times New Roman" w:eastAsia="Times New Roman" w:hAnsi="Times New Roman"/>
                <w:sz w:val="20"/>
                <w:szCs w:val="20"/>
                <w:color w:val="0000FF"/>
                <w:w w:val="96"/>
              </w:rPr>
              <w:t>2.90</w:t>
            </w:r>
            <w:r>
              <w:rPr>
                <w:rFonts w:ascii="Times New Roman" w:cs="Times New Roman" w:eastAsia="Times New Roman" w:hAnsi="Times New Roman"/>
                <w:sz w:val="20"/>
                <w:szCs w:val="20"/>
                <w:color w:val="000000"/>
                <w:w w:val="96"/>
              </w:rPr>
              <w:t>%</w:t>
            </w:r>
          </w:p>
        </w:tc>
        <w:tc>
          <w:tcPr>
            <w:tcW w:w="68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2.10</w:t>
            </w:r>
          </w:p>
        </w:tc>
        <w:tc>
          <w:tcPr>
            <w:tcW w:w="880" w:type="dxa"/>
            <w:vAlign w:val="bottom"/>
            <w:tcBorders>
              <w:right w:val="single" w:sz="8" w:color="auto"/>
            </w:tcBorders>
            <w:gridSpan w:val="3"/>
          </w:tcPr>
          <w:p>
            <w:pPr>
              <w:jc w:val="right"/>
              <w:ind w:right="360"/>
              <w:spacing w:after="0" w:line="209" w:lineRule="exact"/>
              <w:rPr>
                <w:sz w:val="20"/>
                <w:szCs w:val="20"/>
                <w:color w:val="auto"/>
              </w:rPr>
            </w:pPr>
            <w:r>
              <w:rPr>
                <w:rFonts w:ascii="Times New Roman" w:cs="Times New Roman" w:eastAsia="Times New Roman" w:hAnsi="Times New Roman"/>
                <w:sz w:val="20"/>
                <w:szCs w:val="20"/>
                <w:color w:val="0000FF"/>
                <w:w w:val="96"/>
              </w:rPr>
              <w:t>1.90</w:t>
            </w:r>
            <w:r>
              <w:rPr>
                <w:rFonts w:ascii="Times New Roman" w:cs="Times New Roman" w:eastAsia="Times New Roman" w:hAnsi="Times New Roman"/>
                <w:sz w:val="20"/>
                <w:szCs w:val="20"/>
                <w:color w:val="000000"/>
                <w:w w:val="96"/>
              </w:rPr>
              <w:t>%</w:t>
            </w:r>
          </w:p>
        </w:tc>
        <w:tc>
          <w:tcPr>
            <w:tcW w:w="1040" w:type="dxa"/>
            <w:vAlign w:val="bottom"/>
            <w:gridSpan w:val="2"/>
          </w:tcPr>
          <w:p>
            <w:pPr>
              <w:jc w:val="center"/>
              <w:ind w:left="341"/>
              <w:spacing w:after="0" w:line="209" w:lineRule="exact"/>
              <w:rPr>
                <w:sz w:val="20"/>
                <w:szCs w:val="20"/>
                <w:color w:val="auto"/>
              </w:rPr>
            </w:pPr>
            <w:r>
              <w:rPr>
                <w:rFonts w:ascii="Times New Roman" w:cs="Times New Roman" w:eastAsia="Times New Roman" w:hAnsi="Times New Roman"/>
                <w:sz w:val="20"/>
                <w:szCs w:val="20"/>
                <w:color w:val="auto"/>
              </w:rPr>
              <w:t>0.40%</w:t>
            </w:r>
          </w:p>
        </w:tc>
        <w:tc>
          <w:tcPr>
            <w:tcW w:w="46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84"/>
        </w:trPr>
        <w:tc>
          <w:tcPr>
            <w:tcW w:w="6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top w:val="single" w:sz="8" w:color="0000FF"/>
              <w:bottom w:val="single" w:sz="8" w:color="auto"/>
            </w:tcBorders>
          </w:tcPr>
          <w:p>
            <w:pPr>
              <w:spacing w:after="0"/>
              <w:rPr>
                <w:sz w:val="24"/>
                <w:szCs w:val="24"/>
                <w:color w:val="auto"/>
              </w:rPr>
            </w:pPr>
          </w:p>
        </w:tc>
        <w:tc>
          <w:tcPr>
            <w:tcW w:w="60" w:type="dxa"/>
            <w:vAlign w:val="bottom"/>
            <w:tcBorders>
              <w:top w:val="single" w:sz="8" w:color="0000FF"/>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top w:val="single" w:sz="8" w:color="0000FF"/>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top w:val="single" w:sz="8" w:color="0000FF"/>
              <w:bottom w:val="single" w:sz="8" w:color="auto"/>
            </w:tcBorders>
          </w:tcPr>
          <w:p>
            <w:pPr>
              <w:spacing w:after="0"/>
              <w:rPr>
                <w:sz w:val="24"/>
                <w:szCs w:val="24"/>
                <w:color w:val="auto"/>
              </w:rPr>
            </w:pPr>
          </w:p>
        </w:tc>
        <w:tc>
          <w:tcPr>
            <w:tcW w:w="20" w:type="dxa"/>
            <w:vAlign w:val="bottom"/>
            <w:tcBorders>
              <w:top w:val="single" w:sz="8" w:color="0000FF"/>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jc w:val="both"/>
        <w:ind w:right="660" w:firstLine="1296"/>
        <w:spacing w:after="0" w:line="250" w:lineRule="auto"/>
        <w:rPr>
          <w:sz w:val="20"/>
          <w:szCs w:val="20"/>
          <w:color w:val="auto"/>
        </w:rPr>
      </w:pPr>
      <w:r>
        <w:rPr>
          <w:rFonts w:ascii="Times New Roman" w:cs="Times New Roman" w:eastAsia="Times New Roman" w:hAnsi="Times New Roman"/>
          <w:sz w:val="20"/>
          <w:szCs w:val="20"/>
          <w:color w:val="auto"/>
        </w:rPr>
        <w:t xml:space="preserve">For purposes of the foregoing, each change in the Applicable Margin resulting from a change in the Leverage Ratio shall be effective during the period commencing on and including the date that is three (3) Business Days following the date of delivery to the Administrative Agent pursuant to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xml:space="preserve"> of the consolidated financial statements and related Compliance Certificate indicating such change and ending on the date immediately preceding the effective date of the next such change. Notwithstanding the foregoing, the Applicable Margin shall be based on the rates per annum set forth in Category </w:t>
      </w:r>
      <w:r>
        <w:rPr>
          <w:rFonts w:ascii="Times New Roman" w:cs="Times New Roman" w:eastAsia="Times New Roman" w:hAnsi="Times New Roman"/>
          <w:sz w:val="20"/>
          <w:szCs w:val="20"/>
          <w:color w:val="FF0000"/>
          <w:strike w:val="1"/>
        </w:rPr>
        <w:t>IV</w:t>
      </w:r>
      <w:r>
        <w:rPr>
          <w:rFonts w:ascii="Times New Roman" w:cs="Times New Roman" w:eastAsia="Times New Roman" w:hAnsi="Times New Roman"/>
          <w:sz w:val="20"/>
          <w:szCs w:val="20"/>
          <w:u w:val="single" w:color="auto"/>
          <w:color w:val="0000FF"/>
        </w:rPr>
        <w:t>V</w:t>
      </w:r>
      <w:r>
        <w:rPr>
          <w:rFonts w:ascii="Times New Roman" w:cs="Times New Roman" w:eastAsia="Times New Roman" w:hAnsi="Times New Roman"/>
          <w:sz w:val="20"/>
          <w:szCs w:val="20"/>
          <w:color w:val="auto"/>
        </w:rPr>
        <w:t xml:space="preserve"> (i) at any time that an Event of Default has occurred and is continuing and shall continue to so apply to but excluding the date on which such Event of Default shall cease to be continuing (and thereafter, the Category otherwise determined in accordance with this definition shall apply) or (ii) if the Borrower fails to deliver the consolidated financial statements required to be delivered pursuant to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xml:space="preserve">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Borrower Portal</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9.13</w:t>
      </w:r>
      <w:r>
        <w:rPr>
          <w:rFonts w:ascii="Times New Roman" w:cs="Times New Roman" w:eastAsia="Times New Roman" w:hAnsi="Times New Roman"/>
          <w:sz w:val="20"/>
          <w:szCs w:val="20"/>
          <w:u w:val="single" w:color="auto"/>
          <w:color w:val="0000FF"/>
        </w:rPr>
        <w:t>9.14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9.8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6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xml:space="preserve">”: collectively, JPMorgan Chase Bank, N.A., </w:t>
      </w:r>
      <w:r>
        <w:rPr>
          <w:rFonts w:ascii="Times New Roman" w:cs="Times New Roman" w:eastAsia="Times New Roman" w:hAnsi="Times New Roman"/>
          <w:sz w:val="20"/>
          <w:szCs w:val="20"/>
          <w:u w:val="single" w:color="auto"/>
          <w:color w:val="0000FF"/>
        </w:rPr>
        <w:t>Royal Bank of Canada, Truist Securities, Inc. and</w:t>
      </w:r>
      <w:r>
        <w:rPr>
          <w:rFonts w:ascii="Times New Roman" w:cs="Times New Roman" w:eastAsia="Times New Roman" w:hAnsi="Times New Roman"/>
          <w:sz w:val="20"/>
          <w:szCs w:val="20"/>
          <w:color w:val="auto"/>
        </w:rPr>
        <w:t xml:space="preserve"> Regions Capital Markets, a division of Regions Bank </w:t>
      </w:r>
      <w:r>
        <w:rPr>
          <w:rFonts w:ascii="Times New Roman" w:cs="Times New Roman" w:eastAsia="Times New Roman" w:hAnsi="Times New Roman"/>
          <w:sz w:val="20"/>
          <w:szCs w:val="20"/>
          <w:color w:val="FF0000"/>
        </w:rPr>
        <w:t>and Royal Bank of Canada</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-106680</wp:posOffset>
            </wp:positionV>
            <wp:extent cx="13849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84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10.6(b)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an Assignment and Assumption,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Authorized Financial Officer</w:t>
      </w:r>
      <w:r>
        <w:rPr>
          <w:rFonts w:ascii="Times New Roman" w:cs="Times New Roman" w:eastAsia="Times New Roman" w:hAnsi="Times New Roman"/>
          <w:sz w:val="20"/>
          <w:szCs w:val="20"/>
          <w:color w:val="auto"/>
        </w:rPr>
        <w:t>”: any of the chief financial officer, treasurer, assistant treasurer or controller of the Borrower.</w:t>
      </w:r>
    </w:p>
    <w:p>
      <w:pPr>
        <w:spacing w:after="0" w:line="229"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Commitment</w:t>
      </w:r>
      <w:r>
        <w:rPr>
          <w:rFonts w:ascii="Times New Roman" w:cs="Times New Roman" w:eastAsia="Times New Roman" w:hAnsi="Times New Roman"/>
          <w:sz w:val="20"/>
          <w:szCs w:val="20"/>
          <w:color w:val="auto"/>
        </w:rPr>
        <w:t>”: as to any Lender at any time, an amount equal to the excess, if any, of (a) such Lender’s Commitment then in effect over (b) such Lender’s Percentage Interest of the Outstanding Amount.</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xml:space="preserve">”: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the exercise of any Write-Down and Conversion Powers by the applicable Resolution Authority in respect of any liability of an Affected Financial Institution.</w:t>
      </w:r>
    </w:p>
    <w:p>
      <w:pPr>
        <w:spacing w:after="0" w:line="1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xml:space="preserve">”: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Basel III</w:t>
      </w:r>
      <w:r>
        <w:rPr>
          <w:rFonts w:ascii="Times New Roman" w:cs="Times New Roman" w:eastAsia="Times New Roman" w:hAnsi="Times New Roman"/>
          <w:sz w:val="20"/>
          <w:szCs w:val="20"/>
          <w:color w:val="auto"/>
        </w:rPr>
        <w:t>”: the third of the so-called Basel Accords issued by the Basel Committee on Banking Supervision.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35" w:name="page36"/>
    <w:bookmarkEnd w:id="35"/>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initially, the Term SOFR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for any Available Tenor, the first alternative set forth in the order below that can be determined by the Administrative Agent for the applicable Benchmark Replacement Date:</w:t>
      </w:r>
    </w:p>
    <w:p>
      <w:pPr>
        <w:spacing w:after="0" w:line="160" w:lineRule="exact"/>
        <w:rPr>
          <w:sz w:val="20"/>
          <w:szCs w:val="20"/>
          <w:color w:val="auto"/>
        </w:rPr>
      </w:pPr>
    </w:p>
    <w:p>
      <w:pPr>
        <w:ind w:left="1740" w:hanging="436"/>
        <w:spacing w:after="0"/>
        <w:tabs>
          <w:tab w:leader="none" w:pos="17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Daily Simple SOFR;</w:t>
      </w:r>
    </w:p>
    <w:p>
      <w:pPr>
        <w:spacing w:after="0" w:line="215" w:lineRule="exact"/>
        <w:rPr>
          <w:rFonts w:ascii="Times New Roman" w:cs="Times New Roman" w:eastAsia="Times New Roman" w:hAnsi="Times New Roman"/>
          <w:sz w:val="20"/>
          <w:szCs w:val="20"/>
          <w:color w:val="auto"/>
        </w:rPr>
      </w:pPr>
    </w:p>
    <w:p>
      <w:pPr>
        <w:jc w:val="both"/>
        <w:ind w:firstLine="1304"/>
        <w:spacing w:after="0" w:line="257" w:lineRule="auto"/>
        <w:tabs>
          <w:tab w:leader="none" w:pos="1729"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in the United States at such time and (b) the related Benchmark Replacement Adjustment;</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 xml:space="preserve">If the Benchmark Replacement as determined pursuant to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above would be less than the Floor, the Benchmark Replacement will be deemed to be the Floor for the purposes of this Agreement and the other Loan Documents.</w:t>
      </w:r>
    </w:p>
    <w:p>
      <w:pPr>
        <w:spacing w:after="0" w:line="14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with respect to any Benchmark Replacement and/or any Term Benchmark Loan,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36" w:name="page37"/>
    <w:bookmarkEnd w:id="36"/>
    <w:p>
      <w:pPr>
        <w:spacing w:after="0" w:line="283" w:lineRule="auto"/>
        <w:rPr>
          <w:sz w:val="20"/>
          <w:szCs w:val="20"/>
          <w:color w:val="auto"/>
        </w:rPr>
      </w:pPr>
      <w:r>
        <w:rPr>
          <w:rFonts w:ascii="Times New Roman" w:cs="Times New Roman" w:eastAsia="Times New Roman" w:hAnsi="Times New Roman"/>
          <w:sz w:val="20"/>
          <w:szCs w:val="20"/>
          <w:color w:val="auto"/>
        </w:rPr>
        <w:t>Administrative Agent decides in its reasonable discretion is reasonably necessary in connection with the administration of this Agreement and the other Loan Documents).</w:t>
      </w:r>
    </w:p>
    <w:p>
      <w:pPr>
        <w:spacing w:after="0" w:line="146"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with respect to any Benchmark, the earliest to occur of the following events with respect to such then-current Benchmark:</w:t>
      </w:r>
    </w:p>
    <w:p>
      <w:pPr>
        <w:spacing w:after="0" w:line="146" w:lineRule="exact"/>
        <w:rPr>
          <w:sz w:val="20"/>
          <w:szCs w:val="20"/>
          <w:color w:val="auto"/>
        </w:rPr>
      </w:pPr>
    </w:p>
    <w:p>
      <w:pPr>
        <w:jc w:val="both"/>
        <w:ind w:firstLine="1304"/>
        <w:spacing w:after="0" w:line="258" w:lineRule="auto"/>
        <w:tabs>
          <w:tab w:leader="none" w:pos="174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85"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3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 publication referenced in such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and even if any Available Tenor of such Benchmark (or such component thereof) continues to be provided on such date.</w:t>
      </w:r>
    </w:p>
    <w:p>
      <w:pPr>
        <w:spacing w:after="0" w:line="192"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9"/>
          <w:szCs w:val="19"/>
          <w:color w:val="auto"/>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 w:cs="Times New Roman" w:eastAsia="Times New Roman" w:hAnsi="Times New Roman"/>
          <w:sz w:val="19"/>
          <w:szCs w:val="19"/>
          <w:u w:val="single" w:color="auto"/>
          <w:color w:val="auto"/>
        </w:rPr>
        <w:t>clause</w:t>
      </w:r>
    </w:p>
    <w:p>
      <w:pPr>
        <w:spacing w:after="0" w:line="2" w:lineRule="exact"/>
        <w:rPr>
          <w:sz w:val="20"/>
          <w:szCs w:val="20"/>
          <w:color w:val="auto"/>
        </w:rPr>
      </w:pPr>
    </w:p>
    <w:p>
      <w:pPr>
        <w:ind w:firstLine="8"/>
        <w:spacing w:after="0" w:line="253" w:lineRule="auto"/>
        <w:tabs>
          <w:tab w:leader="none" w:pos="300" w:val="left"/>
        </w:tabs>
        <w:numPr>
          <w:ilvl w:val="0"/>
          <w:numId w:val="1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with respect to any Benchmark, the occurrence of one or more of the following events with respect to such then-current Benchmark:</w:t>
      </w:r>
    </w:p>
    <w:p>
      <w:pPr>
        <w:spacing w:after="0" w:line="173" w:lineRule="exact"/>
        <w:rPr>
          <w:sz w:val="20"/>
          <w:szCs w:val="20"/>
          <w:color w:val="auto"/>
        </w:rPr>
      </w:pPr>
    </w:p>
    <w:p>
      <w:pPr>
        <w:jc w:val="both"/>
        <w:ind w:firstLine="1304"/>
        <w:spacing w:after="0" w:line="276" w:lineRule="auto"/>
        <w:tabs>
          <w:tab w:leader="none" w:pos="1577"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w:t>
      </w:r>
    </w:p>
    <w:p>
      <w:pPr>
        <w:spacing w:after="0" w:line="156" w:lineRule="exact"/>
        <w:rPr>
          <w:rFonts w:ascii="Times New Roman" w:cs="Times New Roman" w:eastAsia="Times New Roman" w:hAnsi="Times New Roman"/>
          <w:sz w:val="19"/>
          <w:szCs w:val="19"/>
          <w:color w:val="auto"/>
        </w:rPr>
      </w:pPr>
    </w:p>
    <w:p>
      <w:pPr>
        <w:jc w:val="both"/>
        <w:ind w:firstLine="1304"/>
        <w:spacing w:after="0" w:line="251" w:lineRule="auto"/>
        <w:tabs>
          <w:tab w:leader="none" w:pos="157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37" w:name="page38"/>
    <w:bookmarkEnd w:id="37"/>
    <w:p>
      <w:pPr>
        <w:jc w:val="both"/>
        <w:ind w:firstLine="1304"/>
        <w:spacing w:after="0" w:line="261" w:lineRule="auto"/>
        <w:tabs>
          <w:tab w:leader="none" w:pos="157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with respect to any Benchmark, the period (if any) (x) beginning at the time that a Benchmark Replacement Date pursuant to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of that definition has occurred if, at such time, no Benchmark Replacement has replaced such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and (y) ending at the time that a Benchmark Replacement has replaced such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a certification regarding beneficial ownership or control as required by the Beneficial Ownership Regulation.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31 C.F.R. §1010.230.</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Benefitted Lender</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10.7(a)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the Board of Governors of the Federal Reserve System of the United States (or any successor).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has the meaning assigned to it in the preamble hereto.</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a Revolving Borrowing.</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w:t>
      </w:r>
      <w:r>
        <w:rPr>
          <w:rFonts w:ascii="Times New Roman" w:cs="Times New Roman" w:eastAsia="Times New Roman" w:hAnsi="Times New Roman"/>
          <w:sz w:val="20"/>
          <w:szCs w:val="20"/>
          <w:color w:val="auto"/>
        </w:rPr>
        <w:t>”: as of any date, an amount equal to the sum of the following assets of the Borrower and each Guarantor:</w:t>
      </w:r>
    </w:p>
    <w:p>
      <w:pPr>
        <w:spacing w:after="0" w:line="229" w:lineRule="exact"/>
        <w:rPr>
          <w:sz w:val="20"/>
          <w:szCs w:val="20"/>
          <w:color w:val="auto"/>
        </w:rPr>
      </w:pPr>
    </w:p>
    <w:p>
      <w:pPr>
        <w:ind w:left="1720" w:hanging="416"/>
        <w:spacing w:after="0"/>
        <w:tabs>
          <w:tab w:leader="none" w:pos="1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 of Unrestricted Cash denominated in Dollars to the extent it exceeds the Required Liquidity;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 of the amount of Escrow Proceeds Receivable; </w:t>
      </w:r>
      <w:r>
        <w:rPr>
          <w:rFonts w:ascii="Times New Roman" w:cs="Times New Roman" w:eastAsia="Times New Roman" w:hAnsi="Times New Roman"/>
          <w:sz w:val="20"/>
          <w:szCs w:val="20"/>
          <w:u w:val="single" w:color="auto"/>
          <w:color w:val="auto"/>
        </w:rPr>
        <w:t>plus</w:t>
      </w:r>
    </w:p>
    <w:p>
      <w:pPr>
        <w:spacing w:after="0" w:line="22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90% of the book value of Units Under Contract; </w:t>
      </w:r>
      <w:r>
        <w:rPr>
          <w:rFonts w:ascii="Times New Roman" w:cs="Times New Roman" w:eastAsia="Times New Roman" w:hAnsi="Times New Roman"/>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38" w:name="page39"/>
    <w:bookmarkEnd w:id="38"/>
    <w:p>
      <w:pPr>
        <w:ind w:left="1740" w:hanging="436"/>
        <w:spacing w:after="0"/>
        <w:tabs>
          <w:tab w:leader="none" w:pos="17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limitations set forth below, 85% of the book value of Speculative Units (other than Model Units); </w:t>
      </w:r>
      <w:r>
        <w:rPr>
          <w:rFonts w:ascii="Times New Roman" w:cs="Times New Roman" w:eastAsia="Times New Roman" w:hAnsi="Times New Roman"/>
          <w:sz w:val="20"/>
          <w:szCs w:val="20"/>
          <w:u w:val="single" w:color="auto"/>
          <w:color w:val="auto"/>
        </w:rPr>
        <w:t>plus</w:t>
      </w:r>
    </w:p>
    <w:p>
      <w:pPr>
        <w:spacing w:after="0" w:line="22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85% of the book value of Model Units;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65% of the book value of Land Under Development; </w:t>
      </w:r>
      <w:r>
        <w:rPr>
          <w:rFonts w:ascii="Times New Roman" w:cs="Times New Roman" w:eastAsia="Times New Roman" w:hAnsi="Times New Roman"/>
          <w:sz w:val="20"/>
          <w:szCs w:val="20"/>
          <w:u w:val="single" w:color="auto"/>
          <w:color w:val="auto"/>
        </w:rPr>
        <w:t>plus</w:t>
      </w:r>
    </w:p>
    <w:p>
      <w:pPr>
        <w:spacing w:after="0" w:line="229"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81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limitation set forth below, 50% of the book value of Entitled Land Held for Future Development and Entitled Land Held For Sale that is not included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above.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Notwithstanding the foregoing:</w:t>
      </w:r>
    </w:p>
    <w:p>
      <w:pPr>
        <w:spacing w:after="0" w:line="229" w:lineRule="exact"/>
        <w:rPr>
          <w:sz w:val="20"/>
          <w:szCs w:val="20"/>
          <w:color w:val="auto"/>
        </w:rPr>
      </w:pPr>
    </w:p>
    <w:p>
      <w:pPr>
        <w:ind w:left="660" w:firstLine="644"/>
        <w:spacing w:after="0" w:line="269" w:lineRule="auto"/>
        <w:tabs>
          <w:tab w:leader="none" w:pos="170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advance rate for Speculative Units (other than Model Units) shall decrease to 50% for any Speculative Unit that has been included in the Borrowing Base for 18 months or more (as determined on a cumulative basis);</w:t>
      </w:r>
    </w:p>
    <w:p>
      <w:pPr>
        <w:spacing w:after="0" w:line="172"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77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Borrowing Base shall not include any amount under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of the definition of “Borrowing Base” to the extent that such amount exceeds 25% of the total Borrowing Base</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89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of amounts included pursuant to </w:t>
      </w:r>
      <w:r>
        <w:rPr>
          <w:rFonts w:ascii="Times New Roman" w:cs="Times New Roman" w:eastAsia="Times New Roman" w:hAnsi="Times New Roman"/>
          <w:sz w:val="20"/>
          <w:szCs w:val="20"/>
          <w:u w:val="single" w:color="auto"/>
          <w:color w:val="auto"/>
        </w:rPr>
        <w:t>clauses (f)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of the definition of “Borrowing Base” shall not exceed, at any time, 50% of the total Borrowing Base; and</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9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Borrowing Base shall not include (A) any Speculative Units that have been included in the Borrowing Base for two years or more (as determined on a cumulative basis) and (b) any Model Units that have been included in the Borrowing Base for more than 18 months following the sale of the last applicable production unit (as determined on a cumulative basis).</w:t>
      </w:r>
    </w:p>
    <w:p>
      <w:pPr>
        <w:spacing w:after="0" w:line="18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 Availability</w:t>
      </w:r>
      <w:r>
        <w:rPr>
          <w:rFonts w:ascii="Times New Roman" w:cs="Times New Roman" w:eastAsia="Times New Roman" w:hAnsi="Times New Roman"/>
          <w:sz w:val="20"/>
          <w:szCs w:val="20"/>
          <w:color w:val="auto"/>
        </w:rPr>
        <w:t xml:space="preserve">”: as of any date, an amount equal to the lesser of (a) the Commitments and (b)(i) the Borrowing Base calculated in the most recently delivered Borrowing Base Certificate,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the Borrowing Base Debt on such date.</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 Certificate</w:t>
      </w:r>
      <w:r>
        <w:rPr>
          <w:rFonts w:ascii="Times New Roman" w:cs="Times New Roman" w:eastAsia="Times New Roman" w:hAnsi="Times New Roman"/>
          <w:sz w:val="20"/>
          <w:szCs w:val="20"/>
          <w:color w:val="auto"/>
        </w:rPr>
        <w:t>”: a certificate duly executed by an Authorized Financial Officer substantially in the form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 Debt</w:t>
      </w:r>
      <w:r>
        <w:rPr>
          <w:rFonts w:ascii="Times New Roman" w:cs="Times New Roman" w:eastAsia="Times New Roman" w:hAnsi="Times New Roman"/>
          <w:sz w:val="20"/>
          <w:szCs w:val="20"/>
          <w:color w:val="auto"/>
        </w:rPr>
        <w:t xml:space="preserve">”: as of any date, an amount equal to (i) the Consolidated Debt,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Subordinated Debt due greater than one year,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(iii) the Outstanding Amount (to the extent included in Consolidated Debt).</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Date</w:t>
      </w:r>
      <w:r>
        <w:rPr>
          <w:rFonts w:ascii="Times New Roman" w:cs="Times New Roman" w:eastAsia="Times New Roman" w:hAnsi="Times New Roman"/>
          <w:sz w:val="20"/>
          <w:szCs w:val="20"/>
          <w:color w:val="auto"/>
        </w:rPr>
        <w:t>”: any Business Day specified by the Borrower as a date on which the Borrower requests the relevant Lenders to make Loans hereunder.</w:t>
      </w:r>
    </w:p>
    <w:p>
      <w:pPr>
        <w:spacing w:after="0" w:line="16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a day (other than a Saturday or a Sunday) on which banks are open for business in New York City;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addition to the foregoing, a Business Day shall be (a) in relation to RFR Loans and any interest rate settings, fundings, disbursements, settlements or payments of any such RFR Loan, or any other dealings of such RFR Loan (in each case, solely if applicable after the effectiveness of a Benchmark 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and (b) in relation to Loans referencing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Rate and any interest rate settings, fundings, disbursements, settlements or payments of any such Loans referencing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Rate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color w:val="auto"/>
        </w:rPr>
        <w:t xml:space="preserve">dealings of such Loans referencing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Rate, any such day that is only a U.S. Government Securities Business Day.</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any and all shares, interests, rights to purchase, warrants, options, participations or other equivalents of or interests in (however designated) equity of any Person, including any preferred stock, but excluding any debt securities convertible into such equity.</w:t>
      </w:r>
    </w:p>
    <w:p>
      <w:pPr>
        <w:spacing w:after="0" w:line="168"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w:t>
      </w:r>
      <w:r>
        <w:rPr>
          <w:rFonts w:ascii="Times New Roman" w:cs="Times New Roman" w:eastAsia="Times New Roman" w:hAnsi="Times New Roman"/>
          <w:sz w:val="20"/>
          <w:szCs w:val="20"/>
          <w:color w:val="auto"/>
        </w:rPr>
        <w:t>”: of a Person means any lease of property by such Person as lessee which would be capitalized on a balance sheet of such Person prepared in accordance with GAAP.</w:t>
      </w:r>
    </w:p>
    <w:p>
      <w:pPr>
        <w:spacing w:after="0" w:line="16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 Obligations</w:t>
      </w:r>
      <w:r>
        <w:rPr>
          <w:rFonts w:ascii="Times New Roman" w:cs="Times New Roman" w:eastAsia="Times New Roman" w:hAnsi="Times New Roman"/>
          <w:sz w:val="20"/>
          <w:szCs w:val="20"/>
          <w:color w:val="auto"/>
        </w:rPr>
        <w:t>”: any obligations under a lease that is required to be capitalized for financial reporting purposes in accordance with GAAP.</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to pledge and deposit with or deliver to the Administrative Agent, for the benefit of one or more of the Issuing Lenders or Lenders, as collateral for L/C Obligations or obligations of Lenders to fund participations in respect of L/C Obligations, cash or deposit account balances or, if the Administrative Agent and each applicable Issuing Lender shall agree in their sole discretion, other credit support, in each case pursuant to documentation in form and substance satisfactory to the Administrative Agent and each applicable Issuing Lender. “</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(i) short-term obligations of, or fully guaranteed by, the United States of America, (ii) commercial paper rated A-1 or better by S&amp;P or P-1 or better by Moody’s, (iii) demand deposit accounts maintained in the ordinary course of business, (iv) short term certificates of deposit and time deposits, which mature within eighteen (18) months from the date of issuance and which are maintained with a Lender, a domestic commercial bank having capital and surplus in excess of $100,000,000, or are fully insured by the FDIC, including, for the avoidance of doubt, investments placed through the CDARS and ICS deposit placement program, and (v) money market funds substantially all the assets of which are described in the preceding clauses.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CDARS</w:t>
      </w:r>
      <w:r>
        <w:rPr>
          <w:rFonts w:ascii="Times New Roman" w:cs="Times New Roman" w:eastAsia="Times New Roman" w:hAnsi="Times New Roman"/>
          <w:sz w:val="20"/>
          <w:szCs w:val="20"/>
          <w:color w:val="auto"/>
        </w:rPr>
        <w:t>”: the Certificate of Deposit Account Registry Service.</w:t>
      </w:r>
    </w:p>
    <w:p>
      <w:pPr>
        <w:spacing w:after="0" w:line="21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Status</w:t>
      </w:r>
      <w:r>
        <w:rPr>
          <w:rFonts w:ascii="Times New Roman" w:cs="Times New Roman" w:eastAsia="Times New Roman" w:hAnsi="Times New Roman"/>
          <w:sz w:val="20"/>
          <w:szCs w:val="20"/>
          <w:color w:val="auto"/>
        </w:rPr>
        <w:t>”: the occurrence of any of the following events with respect to a Subsidiary that, immediately prior to such event, is a Guarantor: (a) all of the assets of such Subsidiary are sold or otherwise disposed of to a third party in a transaction in compliance with the terms of this Agreement; (b) all of the Capital Stock of such Subsidiary held by the Borrower or any Restricted Subsidiary is sold or otherwise disposed of to any Person other than a Borrower or a Restricted Subsidiary in a transaction in compliance with the terms of this Agreement; (c) such Subsidiary is designated an Unrestricted Subsidiary (or otherwise ceases to be a Restricted Subsidiary, including by way of liquidation or merger) in compliance with the terms of this Agreement or (d) such Subsidiary becomes an Excluded Subsidiary in compliance with the terms of this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Status Notice</w:t>
      </w:r>
      <w:r>
        <w:rPr>
          <w:rFonts w:ascii="Times New Roman" w:cs="Times New Roman" w:eastAsia="Times New Roman" w:hAnsi="Times New Roman"/>
          <w:sz w:val="20"/>
          <w:szCs w:val="20"/>
          <w:color w:val="auto"/>
        </w:rPr>
        <w:t>”: has the meaning assigned to it in Section 6.7.</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(a) the acquisition of ownership, directly or indirectly, beneficially or of record, by any Person or group (within the meaning of the Securities Exchange Act of 1934 and the rules of the Securities and Exchange Commission thereunder as in effect on the date hereof), of Equity Interests representing more than 50% of the aggregate ordinary voting power represented by the issued and outstanding Equity Interests of the Borrower or (b) occupation of a majority of the seats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40" w:name="page41"/>
    <w:bookmarkEnd w:id="40"/>
    <w:p>
      <w:pPr>
        <w:jc w:val="both"/>
        <w:spacing w:after="0" w:line="283" w:lineRule="auto"/>
        <w:rPr>
          <w:sz w:val="20"/>
          <w:szCs w:val="20"/>
          <w:color w:val="auto"/>
        </w:rPr>
      </w:pPr>
      <w:r>
        <w:rPr>
          <w:rFonts w:ascii="Times New Roman" w:cs="Times New Roman" w:eastAsia="Times New Roman" w:hAnsi="Times New Roman"/>
          <w:sz w:val="20"/>
          <w:szCs w:val="20"/>
          <w:color w:val="auto"/>
        </w:rPr>
        <w:t>vacant seats) on the board of directors of the Borrower by Persons who were neither (i) nominated by the board of directors of the Borrower nor (ii) appointed by directors so nominated.</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10.21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Charity Subsidiaries</w:t>
      </w:r>
      <w:r>
        <w:rPr>
          <w:rFonts w:ascii="Times New Roman" w:cs="Times New Roman" w:eastAsia="Times New Roman" w:hAnsi="Times New Roman"/>
          <w:sz w:val="20"/>
          <w:szCs w:val="20"/>
          <w:color w:val="auto"/>
        </w:rPr>
        <w:t xml:space="preserve">”: Beazer Charity Foundation, Inc., Charity Title Group LLC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Charity Title Agency LLC</w:t>
      </w:r>
      <w:r>
        <w:rPr>
          <w:rFonts w:ascii="Times New Roman" w:cs="Times New Roman" w:eastAsia="Times New Roman" w:hAnsi="Times New Roman"/>
          <w:sz w:val="20"/>
          <w:szCs w:val="20"/>
          <w:u w:val="single" w:color="auto"/>
          <w:color w:val="0000FF"/>
        </w:rPr>
        <w:t>,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Charity Home Insurance Agency LLC</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5157470</wp:posOffset>
            </wp:positionH>
            <wp:positionV relativeFrom="paragraph">
              <wp:posOffset>-243840</wp:posOffset>
            </wp:positionV>
            <wp:extent cx="229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9870" cy="8255"/>
                    </a:xfrm>
                    <a:prstGeom prst="rect">
                      <a:avLst/>
                    </a:prstGeom>
                    <a:noFill/>
                  </pic:spPr>
                </pic:pic>
              </a:graphicData>
            </a:graphic>
          </wp:anchor>
        </w:drawing>
      </w:r>
    </w:p>
    <w:p>
      <w:pPr>
        <w:spacing w:after="0" w:line="15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the date on which the conditions precedent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shall have been satisfied, which date is October 13, 2022.</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 Term SOFR Administrator</w:t>
      </w:r>
      <w:r>
        <w:rPr>
          <w:rFonts w:ascii="Times New Roman" w:cs="Times New Roman" w:eastAsia="Times New Roman" w:hAnsi="Times New Roman"/>
          <w:sz w:val="20"/>
          <w:szCs w:val="20"/>
          <w:color w:val="auto"/>
        </w:rPr>
        <w:t>”: CME Group Benchmark Administration Limited as administrator of the forward-looking term Secured Overnight Financing Rate (SOFR) (or a successor administrator).</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the Internal Revenue Code of 1986, as amended from time to time.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Account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3.11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as to any Lender, the obligation of such Lender, if any, to make Revolving Loans and participate in Letters of Credit in an aggregate principal and/or face amount not to exceed the amount set forth under the heading “Commitment” opposite such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or in the Assignment and Assumption pursuant to which such Lender became a party hereto, as the same may be changed from time to time pursuant to the terms hereof. The original aggregate amount of the Commitments is $265,000,000. </w:t>
      </w:r>
      <w:r>
        <w:rPr>
          <w:rFonts w:ascii="Times New Roman" w:cs="Times New Roman" w:eastAsia="Times New Roman" w:hAnsi="Times New Roman"/>
          <w:sz w:val="20"/>
          <w:szCs w:val="20"/>
          <w:color w:val="0000FF"/>
        </w:rPr>
        <w:t>As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the Third Amendment Effective Date, the aggregate amount of the Commitments is $525,000,000.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6812280</wp:posOffset>
            </wp:positionH>
            <wp:positionV relativeFrom="paragraph">
              <wp:posOffset>-188595</wp:posOffset>
            </wp:positionV>
            <wp:extent cx="3238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0" cy="8890"/>
                    </a:xfrm>
                    <a:prstGeom prst="rect">
                      <a:avLst/>
                    </a:prstGeom>
                    <a:noFill/>
                  </pic:spPr>
                </pic:pic>
              </a:graphicData>
            </a:graphic>
          </wp:anchor>
        </w:drawing>
      </w:r>
    </w:p>
    <w:p>
      <w:pPr>
        <w:spacing w:after="0" w:line="17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 Rate</w:t>
      </w:r>
      <w:r>
        <w:rPr>
          <w:rFonts w:ascii="Times New Roman" w:cs="Times New Roman" w:eastAsia="Times New Roman" w:hAnsi="Times New Roman"/>
          <w:sz w:val="20"/>
          <w:szCs w:val="20"/>
          <w:color w:val="auto"/>
        </w:rPr>
        <w:t xml:space="preserve">”: for any day, the applicable rate per annum set forth under the column “Commitment Fee Rate” in the Applicable Pricing Grid, based upon the Leverage Ratio as of the end of the fiscal quarter of the Borrower for which consolidated financial statements have theretofore been most recently delivered pursuant to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the date of the delivery of the consolidated financial statements pursuant to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xml:space="preserve"> for the fiscal year ended September 30, 2022 the Commitment Fee Rate shall be based on the rates per annum set forth in Category IV in the Applicable Pricing Grid.</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Period</w:t>
      </w:r>
      <w:r>
        <w:rPr>
          <w:rFonts w:ascii="Times New Roman" w:cs="Times New Roman" w:eastAsia="Times New Roman" w:hAnsi="Times New Roman"/>
          <w:sz w:val="20"/>
          <w:szCs w:val="20"/>
          <w:color w:val="auto"/>
        </w:rPr>
        <w:t>”: the period from and including the Closing Date to the Termination Date.</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xml:space="preserve">”: collectively, any notice, demand, communication, information, document or other material provided by or on behalf of any Loan Party pursuant to any Loan Document or the transactions contemplated therein which is distributed by the Administrative Agent, any Lender or any Issuing Lender by means of electronic communications pursuant to </w:t>
      </w:r>
      <w:r>
        <w:rPr>
          <w:rFonts w:ascii="Times New Roman" w:cs="Times New Roman" w:eastAsia="Times New Roman" w:hAnsi="Times New Roman"/>
          <w:sz w:val="20"/>
          <w:szCs w:val="20"/>
          <w:u w:val="single" w:color="auto"/>
          <w:color w:val="auto"/>
        </w:rPr>
        <w:t>Section 9.8</w:t>
      </w:r>
      <w:r>
        <w:rPr>
          <w:rFonts w:ascii="Times New Roman" w:cs="Times New Roman" w:eastAsia="Times New Roman" w:hAnsi="Times New Roman"/>
          <w:sz w:val="20"/>
          <w:szCs w:val="20"/>
          <w:color w:val="auto"/>
        </w:rPr>
        <w:t>, including through an Approved Electronic Platform.</w:t>
      </w:r>
    </w:p>
    <w:p>
      <w:pPr>
        <w:spacing w:after="0" w:line="17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Competitor</w:t>
      </w:r>
      <w:r>
        <w:rPr>
          <w:rFonts w:ascii="Times New Roman" w:cs="Times New Roman" w:eastAsia="Times New Roman" w:hAnsi="Times New Roman"/>
          <w:sz w:val="20"/>
          <w:szCs w:val="20"/>
          <w:color w:val="auto"/>
        </w:rPr>
        <w:t>”: any Person that is itself, or is owned or Controlled by, (i) a Homebuilder or (ii) engaged primarily in the business of investing in distressed real estate and not a banking institution, life insurance company, or other similar financial institution that ordinarily is engaged in the business of making real estate loans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41" w:name="page42"/>
    <w:bookmarkEnd w:id="41"/>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Completed Unit</w:t>
      </w:r>
      <w:r>
        <w:rPr>
          <w:rFonts w:ascii="Times New Roman" w:cs="Times New Roman" w:eastAsia="Times New Roman" w:hAnsi="Times New Roman"/>
          <w:sz w:val="20"/>
          <w:szCs w:val="20"/>
          <w:color w:val="auto"/>
        </w:rPr>
        <w:t>”: a Unit as to which either (or both) of the following has occurred: (a) a notice of completion has been filed or recorded in the appropriate real estate records; or (b) all necessary construction has been completed in order to obtain a certificate of occupancy (whether or not such certificate of occupancy has actually been obtained), or if a notice of completion or certificate of occupancy is not required to be provided to, or issued by, the applicable jurisdiction, respectively, the Unit is otherwise ready for occupancy in accordance with applicable law.</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Compliance Certificate</w:t>
      </w:r>
      <w:r>
        <w:rPr>
          <w:rFonts w:ascii="Times New Roman" w:cs="Times New Roman" w:eastAsia="Times New Roman" w:hAnsi="Times New Roman"/>
          <w:sz w:val="19"/>
          <w:szCs w:val="19"/>
          <w:color w:val="auto"/>
        </w:rPr>
        <w:t xml:space="preserve">”: a certificate duly executed by an Authorized Financial Officer substantially in the form of </w:t>
      </w:r>
      <w:r>
        <w:rPr>
          <w:rFonts w:ascii="Times New Roman" w:cs="Times New Roman" w:eastAsia="Times New Roman" w:hAnsi="Times New Roman"/>
          <w:sz w:val="19"/>
          <w:szCs w:val="19"/>
          <w:u w:val="single" w:color="auto"/>
          <w:color w:val="auto"/>
        </w:rPr>
        <w:t>Exhibit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Other Connection Taxes that are imposed on or measured by net income (however denominated) or that are franchise Taxes or branch profits Taxes.</w:t>
      </w:r>
    </w:p>
    <w:p>
      <w:pPr>
        <w:spacing w:after="0" w:line="14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Debt</w:t>
      </w:r>
      <w:r>
        <w:rPr>
          <w:rFonts w:ascii="Times New Roman" w:cs="Times New Roman" w:eastAsia="Times New Roman" w:hAnsi="Times New Roman"/>
          <w:sz w:val="20"/>
          <w:szCs w:val="20"/>
          <w:color w:val="auto"/>
        </w:rPr>
        <w:t xml:space="preserve">”: at any date, without duplication (a) all funded debt of the Loan Parties and their Restricted Subsidiaries determined on a consolidated basis in accordance with GAAP,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funded debt of Joint Ventures that are Subsidiaries with recourse to or guaranteed by the Borrower or any other Loan Party,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the sum of (i) all reimbursement obligations with respect to drawn Performance Letters of Credit (excluding any portion of the actual or potential reimbursement obligations that are secured by cash collateral) </w:t>
      </w:r>
      <w:r>
        <w:rPr>
          <w:rFonts w:ascii="Times New Roman" w:cs="Times New Roman" w:eastAsia="Times New Roman" w:hAnsi="Times New Roman"/>
          <w:sz w:val="20"/>
          <w:szCs w:val="20"/>
          <w:u w:val="single" w:color="auto"/>
          <w:color w:val="auto"/>
        </w:rPr>
        <w:t>and</w:t>
      </w:r>
      <w:r>
        <w:rPr>
          <w:rFonts w:ascii="Times New Roman" w:cs="Times New Roman" w:eastAsia="Times New Roman" w:hAnsi="Times New Roman"/>
          <w:sz w:val="20"/>
          <w:szCs w:val="20"/>
          <w:color w:val="auto"/>
        </w:rPr>
        <w:t xml:space="preserve"> (ii) all reimbursement obligations with respect to drawn Financial Letters of Credit (excluding any portion of the actual or potential reimbursement obligations that are secured by cash collateral) and, without duplication, the maximum amount available to be drawn under all Financial Letters of Credit (excluding any portion of the actual or potential reimbursement obligations that are secured by cash collateral), in each case issued for the account of, or guaranteed by, any Loan Party or any of their Restricted Subsidiaries,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all guarantees of the Loan Parties or their Restricted Subsidiaries of funded debt of third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except as provided above in this definition with respect to Financial Letters of Credit, in the case of any Contingent Obligation only amounts due and payable at the time of determination will be included in the calculation of Consolidated Debt,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(e) funded debt of Unrestricted Subsidiaries or third parties with recourse to or guaranteed by any Loan Party or any of its Restricted Subsidiaries,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(f) all Hedging Obligations of the Loan Parties and their Restricted Subsidiaries, excluding Indebtedness of a Loan Party to another Loan Party,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(g) all Capitalized Lease Obligations of the Loan Parties and their Restricted Subsidiaries.</w:t>
      </w:r>
    </w:p>
    <w:p>
      <w:pPr>
        <w:spacing w:after="0" w:line="19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for any period, (a) the Consolidated Net Income of the Loan Parties and their Restricted Subsidiaries,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to the extent deducted from revenues in determining Consolidated Net Income of the Loan Parties and their Restricted Subsidiaries: (i) Consolidated Interest Expense, (ii) expense for income taxes paid or accrued, (iii) depreciation, (iv) amortization (including amortization of goodwill and other intangible assets), (v) non-cash charges (including impairment charges for land and other long-lived assets), (vi) extraordinary losses, and (vii) loss on early extinguishment of indebtedness,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(c) to the extent added to revenues in determining Consolidated Net Income, non-cash gains and extraordinary gains (including for the avoidance of doubt, gains relating to the release of any tax valuation asset reserves and gains on early extinguishment of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Consolidated EBITDA of the Restricted Subsidiaries shall only be included in the amount of the Loan Parties’ pro-rata share of interest of such Restricted Subsidiaries.</w:t>
      </w:r>
    </w:p>
    <w:p>
      <w:pPr>
        <w:spacing w:after="0" w:line="19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for any period, the consolidated interest expense and capitalized interest and other charges amortized to cost of sales of Loan Parties and their Restricted Subsidiaries for such period, determined on a consolidated basis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42" w:name="page43"/>
    <w:bookmarkEnd w:id="42"/>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Incurred</w:t>
      </w:r>
      <w:r>
        <w:rPr>
          <w:rFonts w:ascii="Times New Roman" w:cs="Times New Roman" w:eastAsia="Times New Roman" w:hAnsi="Times New Roman"/>
          <w:sz w:val="20"/>
          <w:szCs w:val="20"/>
          <w:color w:val="auto"/>
        </w:rPr>
        <w:t xml:space="preserve">”: for any period, the aggregate amount (without duplication and determined, in each case (to the extent applicable), in accordance with GAAP) of interest (excluding interest of a Loan Party to another Loan Party) incurred, whether such interest was expensed or capitalized, paid, accrued, or scheduled to be paid or accrued during such period by any of the Loan Parties and their Restricted Subsidiaries during such period, including (a) the interest portion of all deferred payment obligations, and (b) all commissions, discounts, and other fees and charges (excluding premiums) owed with respect to bankers’ acceptances and letter of credit financings (including, without limitation, letter of credit fees) and Hedging Obligations, in each case to the extent attributable to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Consolidated Interest Incurred of the Restricted Subsidiaries shall only be included in the amount of the Loan Parties’ pro-rata share of interest of such Restricted Subsidiaries. For purposes of this definition, interest on Capital Leases shall be deemed to accrue at an interest rate reasonably determined by the Borrower to be the rate of interest implicit in such Capital Leases in accordance with GAAP.</w:t>
      </w:r>
    </w:p>
    <w:p>
      <w:pPr>
        <w:spacing w:after="0" w:line="19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for any period, the net income (or loss) attributable to Loan Parties and their Restricted Subsidiaries for such period, determined on a consolidated basis in accordance with GAAP. For the avoidance of doubt, the calculation of Consolidated Net Income will exclude net income (or loss) of Joint Ventures and Unrestricted Subsidiaries that otherwise would be consolidated under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Consolidated Net Income shall include, without duplication, the net income of any Joint Venture and Unrestricted Subsidiary to the extent such net income is actually received by any Loan Party or any of its Restricted Subsidiaries in the form of cash dividends or similar cash distributions during such period, or in any other form that is received and converted to cash during such period.</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Tangible Net Worth</w:t>
      </w:r>
      <w:r>
        <w:rPr>
          <w:rFonts w:ascii="Times New Roman" w:cs="Times New Roman" w:eastAsia="Times New Roman" w:hAnsi="Times New Roman"/>
          <w:sz w:val="20"/>
          <w:szCs w:val="20"/>
          <w:color w:val="auto"/>
        </w:rPr>
        <w:t xml:space="preserve">”: at any date, the consolidated stockholders equity (including any preferred stock that is classified as equity under GAAP, other than Disqualified Stock),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Intangible Assets, of the Loan Parties and their Restricted Subsidiaries determined in accordance with GAAP on a consolidated basis, all determined as of such date. For the avoidance of doubt, the calculation of Consolidated Tangible Net Worth will exclude, without duplication, (i) the stockholders’ equity (less Intangible Assets) of Joint Ventures and Unrestricted Subsidiaries that otherwise would be consolidated under GAAP and (ii) any intercompany liabilities of Joint Ventures and Unrestricted Subsidiaries.</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Contingent Obligation</w:t>
      </w:r>
      <w:r>
        <w:rPr>
          <w:rFonts w:ascii="Times New Roman" w:cs="Times New Roman" w:eastAsia="Times New Roman" w:hAnsi="Times New Roman"/>
          <w:sz w:val="20"/>
          <w:szCs w:val="20"/>
          <w:color w:val="auto"/>
        </w:rPr>
        <w:t>”: any agreement, undertaking or arrangement by which such Person assumes, guarantees, endorses, contingently agrees to purchase or provide funds for the payment of, or otherwise becomes or is contingently liable upon, the monetary obligation or monetary liability of any other Person, or agrees to maintain the net worth or working capital or other financial condition of any other Person, or otherwise assures any creditor of such other Person against loss, including, without limitation, any comfort letter, operating agreement, take-or-pay contract, “put” agreement or other similar arrangement.</w:t>
      </w:r>
    </w:p>
    <w:p>
      <w:pPr>
        <w:spacing w:after="0" w:line="192"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any provision of any security issued by such Person or of any agreement, instrument or other undertaking to which such Person is a party or by which it or any of its property is bound.</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43" w:name="page44"/>
    <w:bookmarkEnd w:id="43"/>
    <w:p>
      <w:pPr>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as applicable, either a tenor (including overnight) or an interest payment period having approximately the same length (disregarding business day adjustment) as such Available Tenor.</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any of the following:</w:t>
      </w:r>
    </w:p>
    <w:p>
      <w:pPr>
        <w:spacing w:after="0" w:line="229" w:lineRule="exact"/>
        <w:rPr>
          <w:sz w:val="20"/>
          <w:szCs w:val="20"/>
          <w:color w:val="auto"/>
        </w:rPr>
      </w:pPr>
    </w:p>
    <w:p>
      <w:pPr>
        <w:ind w:left="1680" w:hanging="376"/>
        <w:spacing w:after="0"/>
        <w:tabs>
          <w:tab w:leader="none" w:pos="16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29"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3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the Administrative Agent, each Issuing Lender, or any other Lender.</w:t>
      </w:r>
    </w:p>
    <w:p>
      <w:pPr>
        <w:spacing w:after="0" w:line="21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for any day (a “</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a rate per annum equal to SOFR for the day (such day “</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w:t>
      </w:r>
      <w:r>
        <w:rPr>
          <w:rFonts w:ascii="Times New Roman" w:cs="Times New Roman" w:eastAsia="Times New Roman" w:hAnsi="Times New Roman"/>
          <w:sz w:val="20"/>
          <w:szCs w:val="20"/>
          <w:u w:val="single" w:color="auto"/>
          <w:color w:val="0000FF"/>
        </w:rPr>
        <w:t>; provided, that if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8000"/>
        </w:rPr>
        <w:t>Daily Simple SOFR as so determined would be less than the Floor,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8000"/>
        </w:rPr>
        <w:t>such rate shall be deemed to be equal to the Floor for the purposes of this Agreement</w:t>
      </w:r>
      <w:r>
        <w:rPr>
          <w:rFonts w:ascii="Times New Roman" w:cs="Times New Roman" w:eastAsia="Times New Roman" w:hAnsi="Times New Roman"/>
          <w:sz w:val="20"/>
          <w:szCs w:val="20"/>
          <w:color w:val="000000"/>
        </w:rPr>
        <w:t>. Any change in Daily Simple SOFR due to a change in</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000000"/>
        </w:rPr>
        <w:t>SOFR shall be effective from and including the effective date of such change in SOFR without notice to the Borrower.</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any event or circumstance that, with the giving of notice or passage of time, or both, would become an Event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Default.</w:t>
      </w:r>
    </w:p>
    <w:p>
      <w:pPr>
        <w:spacing w:after="0" w:line="214"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any Lender that (a) has failed, within two Business Days of the date required to be funded or paid, to</w:t>
      </w:r>
    </w:p>
    <w:p>
      <w:pPr>
        <w:spacing w:after="0" w:line="22" w:lineRule="exact"/>
        <w:rPr>
          <w:sz w:val="20"/>
          <w:szCs w:val="20"/>
          <w:color w:val="auto"/>
        </w:rPr>
      </w:pPr>
    </w:p>
    <w:p>
      <w:pPr>
        <w:jc w:val="both"/>
        <w:ind w:firstLine="8"/>
        <w:spacing w:after="0" w:line="249" w:lineRule="auto"/>
        <w:tabs>
          <w:tab w:leader="none" w:pos="24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fund any portion of its Loans, (ii) fund any portion of its participations in Letters of Credit or (iii) pay over to any Credit Party any other amount required to be paid by it hereunder, unless, in the case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the date of certification) to fund prospective Loans and participations in then outstanding Letters of Credit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upon such Credit Party’s receipt of such certification in form and substance satisfactory to it and the Administrative Agent, or (d) has become the subject of (A) a Bankruptcy Event or (B) a Bail-In Action.</w:t>
      </w:r>
    </w:p>
    <w:p>
      <w:pPr>
        <w:spacing w:after="0" w:line="17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Stock</w:t>
      </w:r>
      <w:r>
        <w:rPr>
          <w:rFonts w:ascii="Times New Roman" w:cs="Times New Roman" w:eastAsia="Times New Roman" w:hAnsi="Times New Roman"/>
          <w:sz w:val="20"/>
          <w:szCs w:val="20"/>
          <w:color w:val="auto"/>
        </w:rPr>
        <w:t>”: with respect to any Person, any Capital Stock of such Person that, by its terms, or by the terms of any security into which it is convertible or for which it is putable or exchangeable, or upon the happening of any event, matures or is mandatorily redeemable pursuant to a sinking fund obligation or otherwise (other than solely as a result of a change of control), is convertible or exchangeable for Indebtedness or Disqualified Stock or is redeemable at the option of the holder thereof (other than solely as a result of a change of control), in whole or in part, in each case prior to the date that is 120 days after the Termination Date; provided, however, that if such Capital Stock is issued to any plan for the benefit of employees of the Borrower or any of its Subsidiaries or by any such plan to such employees, such Capital Stock shall not constitute Disqualified Stock solely because (i) it may be required to be repurchased by the Borrower or any of its Subsidiaries in order to satisfy applicable statutory or regulatory obligations or (ii) in the case of an option issued to any such employee, such option gives the employee the right, under certain circumstances, to require the Borrower to withhold shares to pay the exercise price or the withholding taxes that are applicable upon exercise of such option.</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has the meaning assigned to it in the definition of “</w:t>
      </w:r>
      <w:r>
        <w:rPr>
          <w:rFonts w:ascii="Times New Roman" w:cs="Times New Roman" w:eastAsia="Times New Roman" w:hAnsi="Times New Roman"/>
          <w:sz w:val="20"/>
          <w:szCs w:val="20"/>
          <w:u w:val="single" w:color="auto"/>
          <w:color w:val="auto"/>
        </w:rPr>
        <w:t>Division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Division</w:t>
      </w:r>
      <w:r>
        <w:rPr>
          <w:rFonts w:ascii="Times New Roman" w:cs="Times New Roman" w:eastAsia="Times New Roman" w:hAnsi="Times New Roman"/>
          <w:sz w:val="20"/>
          <w:szCs w:val="20"/>
          <w:color w:val="auto"/>
        </w:rPr>
        <w:t>”: the division of the assets, liabilities and/or obligations of a Person (the “</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among two or more Persons (whether pursuant to a “plan of division” or similar arrangement), which may or may not include the Dividing Person and pursuant to which the Dividing Person may or may not survive.</w:t>
      </w:r>
    </w:p>
    <w:p>
      <w:pPr>
        <w:spacing w:after="0" w:line="18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Division Successor</w:t>
      </w:r>
      <w:r>
        <w:rPr>
          <w:rFonts w:ascii="Times New Roman" w:cs="Times New Roman" w:eastAsia="Times New Roman" w:hAnsi="Times New Roman"/>
          <w:sz w:val="20"/>
          <w:szCs w:val="20"/>
          <w:color w:val="auto"/>
        </w:rPr>
        <w:t>”: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dollars in lawful currency of the United States.</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xml:space="preserve">”: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any of the member states of the European Union, Iceland, Liechtenstein, and Norway.</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45" w:name="page46"/>
    <w:bookmarkEnd w:id="45"/>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an electronic sound, symbol, or process attached to, or associated with, a contract or other record and adopted by a Person with the intent to sign, authenticate or accept such contract or record.</w:t>
      </w:r>
    </w:p>
    <w:p>
      <w:pPr>
        <w:spacing w:after="0" w:line="14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any of (i) a Lender or a Lender Affiliate, (ii) a commercial bank organized under the laws of the United States, or any State thereof, and having (x) total assets in excess of $1,000,000,000 and (y) a combined capital and surplus of at least $250,000,000; (iii) a commercial bank organized under the laws of any other country which is a member of the OECD, or a political subdivision of any such country, and having (x) total assets in excess of $1,000,000,000 and (y) a combined capital and surplus of at least $250,000,000;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bank is acting through a branch or agency located in the country in which it is organized or another country which is also a member of OECD; (iv) a life insurance company organized under the laws of any State of the United States, or organized under the laws of any country and licensed as a life insurer by any State within the United States and having admitted assets of at least $1,000,000,000; (v) a nationally or internationally recognized investment banking company or other financial institution in the business of making, investing in or purchasing loans, or an Affiliate thereof organized under the laws of any State of the United States or any other country which is a member of OECD, and licensed or qualified to conduct such business under the laws of any such State and having (1) total assets of at least $1,000,000,000 and (2) a net worth of at least $250,000,000; or (vi) an Approved Fund. Notwithstanding the foregoing, (a) in no event shall a Defaulting Lender or its Lender Parent be deemed to be an Eligible Assignee, and (b) “Eligible Assignee” shall not include the Borrower, any of the Borrower’s Affiliates or a Competitor.</w:t>
      </w:r>
    </w:p>
    <w:p>
      <w:pPr>
        <w:spacing w:after="0" w:line="19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Entitled Land Held For Future Development</w:t>
      </w:r>
      <w:r>
        <w:rPr>
          <w:rFonts w:ascii="Times New Roman" w:cs="Times New Roman" w:eastAsia="Times New Roman" w:hAnsi="Times New Roman"/>
          <w:sz w:val="20"/>
          <w:szCs w:val="20"/>
          <w:color w:val="auto"/>
        </w:rPr>
        <w:t>”: unimproved Qualified Real Property Inventory comprised of land where all requisite zoning requirements and land use requirements have been satisfied, and all requisite approvals have been obtained from all applicable governmental authorities (other than approvals which are simply ministerial and non-discretionary in nature or otherwise not material) in order to develop the land as a residential housing project.</w:t>
      </w:r>
    </w:p>
    <w:p>
      <w:pPr>
        <w:spacing w:after="0" w:line="17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Entitled Land Held For Sale</w:t>
      </w:r>
      <w:r>
        <w:rPr>
          <w:rFonts w:ascii="Times New Roman" w:cs="Times New Roman" w:eastAsia="Times New Roman" w:hAnsi="Times New Roman"/>
          <w:sz w:val="20"/>
          <w:szCs w:val="20"/>
          <w:color w:val="auto"/>
        </w:rPr>
        <w:t>”: unimproved Qualified Real Property Inventory comprised of land where all requisite zoning requirements and land use requirements have been satisfied, and all requisite approvals have been obtained from all applicable governmental authorities (other than approvals which are simply ministerial and non-discretionary in nature or otherwise not material) in order to sell to a third party.</w:t>
      </w:r>
    </w:p>
    <w:p>
      <w:pPr>
        <w:spacing w:after="0" w:line="18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w:t>
      </w:r>
    </w:p>
    <w:p>
      <w:pPr>
        <w:spacing w:after="0" w:line="18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Liability</w:t>
      </w:r>
      <w:r>
        <w:rPr>
          <w:rFonts w:ascii="Times New Roman" w:cs="Times New Roman" w:eastAsia="Times New Roman" w:hAnsi="Times New Roman"/>
          <w:sz w:val="19"/>
          <w:szCs w:val="19"/>
          <w:color w:val="auto"/>
        </w:rPr>
        <w:t>”: any liability, contingent or otherwise (including any liability for damages, costs of environmental remediation, fines, penalties or indemnities), of the Borrower or any Subsidiary directly or indirectly resulting from or based upon</w:t>
      </w:r>
    </w:p>
    <w:p>
      <w:pPr>
        <w:spacing w:after="0" w:line="1" w:lineRule="exact"/>
        <w:rPr>
          <w:sz w:val="20"/>
          <w:szCs w:val="20"/>
          <w:color w:val="auto"/>
        </w:rPr>
      </w:pPr>
    </w:p>
    <w:p>
      <w:pPr>
        <w:jc w:val="both"/>
        <w:ind w:firstLine="8"/>
        <w:spacing w:after="0" w:line="251" w:lineRule="auto"/>
        <w:tabs>
          <w:tab w:leader="none" w:pos="28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violation of any Environmental Law, (b) the generation, use, handling, transportation, storage, treatment or disposal of any Hazardous Substances, (c) exposure to any Hazardous Substances, (d) the release or threatened release of any Hazardous Substances into the environment or (e) any contract, agreement or other consensual arrangement pursuant to which liability is assumed or imposed with respect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46" w:name="page47"/>
    <w:bookmarkEnd w:id="46"/>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the Employee Retirement Income Security Act of 1974, as amended, and the rules and regulations promulgated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thereunder.</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any trade or business (whether or not incorporated) that, together with any Loan Party, is (i) treated as a single employer under Section 414(b) or (c) of the Code or, solely for purposes of Sections 412 of the Code, Sections 414(m) or (o) of the Code or (ii) under common control, within the meaning of Section 4001(a)(14) of ERISA. Any entity that qualified as an ERISA Affiliate on any date prior to the date hereof, shall continue to be an ERISA Affiliate, for purposes of this definition, for any period during which any Loan Party could remain liable under the Code or ERISA on account of such prior ERISA Affiliate status.</w:t>
      </w:r>
    </w:p>
    <w:p>
      <w:pPr>
        <w:spacing w:after="0" w:line="192"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(a) a Reportable Event; (b) the filing, pursuant to Section 412(c) of the Code or Section 302(c) of ERISA, of an application for a waiver of the minimum funding standard with respect to any Plan; (c) a withdrawal by any Loan Party or any ERISA Affiliate from a Plan subject to Section 4063 of ERISA during a plan year in which it is a substantial employer (as defined in Section 4001(a)</w:t>
      </w:r>
    </w:p>
    <w:p>
      <w:pPr>
        <w:spacing w:after="0" w:line="2" w:lineRule="exact"/>
        <w:rPr>
          <w:sz w:val="20"/>
          <w:szCs w:val="20"/>
          <w:color w:val="auto"/>
        </w:rPr>
      </w:pPr>
    </w:p>
    <w:p>
      <w:pPr>
        <w:jc w:val="both"/>
        <w:ind w:firstLine="8"/>
        <w:spacing w:after="0" w:line="248" w:lineRule="auto"/>
        <w:tabs>
          <w:tab w:leader="none" w:pos="28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ERISA) or a cessation of operations that is treated as such a withdrawal under Section 4062(e) of ERISA; (d) a determination that any Plan is, or is expected to be, in “at risk” status (within the meaning of Section 430 of the Code or Section 303 of ERISA); (e) a complete or partial withdrawal by any Loan Party or any ERISA Affiliate from a Multiemployer Plan or notification that a Multiemployer Plan is, or is expected to be, insolvent (within the meaning of Section 4245 of ERISA) or in “endangered” or “critical” status (within the meaning of Section 432 of the Code or Section 305 of ERISA); (f) the filing of a notice of intent to terminate a Plan (under Sections 4041 of ERISA), the treatment of a plan amendment as a termination of a Multiemployer Plan (under Section 4041A of ERISA), or the commencement of proceedings by the PBGC to terminate a Plan or Multiemployer Plan; (g) an event or condition which constitutes grounds under Section 4042 of ERISA for the termination of, or the appointment of a trustee to administer, any Plan or Multiemployer Plan; or (h) the imposition of any liability under Title IV of ERISA, other than for PBGC premiums due but not delinquent under Section 4007 of ERISA, upon any Loan Party or any ERISA Affiliate.</w:t>
      </w:r>
    </w:p>
    <w:p>
      <w:pPr>
        <w:spacing w:after="0" w:line="20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Escrow Proceeds Receivable</w:t>
      </w:r>
      <w:r>
        <w:rPr>
          <w:rFonts w:ascii="Times New Roman" w:cs="Times New Roman" w:eastAsia="Times New Roman" w:hAnsi="Times New Roman"/>
          <w:sz w:val="20"/>
          <w:szCs w:val="20"/>
          <w:color w:val="auto"/>
        </w:rPr>
        <w:t xml:space="preserve">”: funds due to the Borrower or any Guarantor held in escrow following the sale and conveyance of title of a Unit to a buyer which are not subject to or encumbered by any Lien (other than the Permitted Liens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of the definition of “Permitted Liens”).</w:t>
      </w:r>
    </w:p>
    <w:p>
      <w:pPr>
        <w:spacing w:after="0" w:line="16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the EU Bail-In Legislation Schedule published by the Loan Market Association (or any successor Person), as in effect from time to time.</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any of the events specified in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the Securities Exchange Act of 1934, as amended.</w:t>
      </w:r>
    </w:p>
    <w:p>
      <w:pPr>
        <w:spacing w:after="0" w:line="229"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Subsidiary</w:t>
      </w:r>
      <w:r>
        <w:rPr>
          <w:rFonts w:ascii="Times New Roman" w:cs="Times New Roman" w:eastAsia="Times New Roman" w:hAnsi="Times New Roman"/>
          <w:sz w:val="19"/>
          <w:szCs w:val="19"/>
          <w:color w:val="auto"/>
        </w:rPr>
        <w:t>”: any (i) non-Wholly-Owned Subsidiary of the Borrower, (ii) Unrestricted Subsidiary, (iii) Subsidiary organized in a jurisdiction other than the United States (solely to the extent a guarantee of the Obligations by such Subsidiary could reasonably be expected to result in adverse tax consequences to the Borrower), (iv) Subsidiary for which any guarantee of the Obligations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20"/>
          <w:szCs w:val="20"/>
          <w:color w:val="auto"/>
        </w:rPr>
        <w:t>is legally prohibited by any Requirement of Law or requires any consent, approval, license or authorization from any Governmental Authority, unless such consent, approval, license or authorization has been received or (y) is contractually prohibited on the Closing Date or on the date of the acquisition or formation of such Subsidiary by any Loan Party or Subsidiary of any Loan Party, so long as such prohibition is not created in contemplation of such acquisition or formation and (v) not-for-profit Subsidiary.</w:t>
      </w:r>
    </w:p>
    <w:p>
      <w:pPr>
        <w:spacing w:after="0" w:line="17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the Loans, any Letter of Credit or Commitments pursuant to a law in effect on the date on which (i) such Lender acquires such interest in the Loans, any Letter of Credit or Commitments (other than pursuant to an assignment request by the Borrower under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2.16(e)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2.16(f)</w:t>
      </w:r>
      <w:r>
        <w:rPr>
          <w:rFonts w:ascii="Times New Roman" w:cs="Times New Roman" w:eastAsia="Times New Roman" w:hAnsi="Times New Roman"/>
          <w:sz w:val="20"/>
          <w:szCs w:val="20"/>
          <w:color w:val="auto"/>
        </w:rPr>
        <w:t xml:space="preserve"> and (d) any U.S. Federal withholding Taxes imposed under FATCA.</w:t>
      </w:r>
    </w:p>
    <w:p>
      <w:pPr>
        <w:spacing w:after="0" w:line="192"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that certain Second Amended and Restated Credit Agreement, dated as of September 24, 2012 (as amended by that certain First Amendment to Second Amended and Restated Credit Agreement, dated as of November 10, 2014, that certain Second Amendment to Second Amended and Restated Credit Agreement, dated as of November 6, 2015, that certain Third Amendment to Second Amended and Restated Credit Agreement, dated as of October 13, 2016, that certain Fourth Amendment to Second Amended and Restated Credit Agreement, dated as of October 24, 2017, that certain Fifth Amendment to Second Amended and Restated Credit Agreement, dated as of October 1, 2018, that certain Sixth Amendment to Second Amended and Restated Credit Agreement, dated as of February 20, 2019, that certain Seventh Amendment to Second Amended and Restated Credit Agreement, dated as of September 9, 2019, that certain Eighth Amendment to Second Amended and Restated Credit Agreement, dated as of April 27, 2020, that certain Ninth Amendment to Second Amended and Restated Credit Agreement, dated as of October 8, 2020 and that certain Tenth Amendment to Second Amended and Restated Credit Agreement, dated as of September 24, 2021), among the Borrower, the lenders and issuers party thereto, Credit Suisse AG, Cayman Island Branch, acting through one or more of its branches or affiliates, as agent and the other agents and parties party thereto from time to time.</w:t>
      </w:r>
    </w:p>
    <w:p>
      <w:pPr>
        <w:spacing w:after="0" w:line="20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FDIC</w:t>
      </w:r>
      <w:r>
        <w:rPr>
          <w:rFonts w:ascii="Times New Roman" w:cs="Times New Roman" w:eastAsia="Times New Roman" w:hAnsi="Times New Roman"/>
          <w:sz w:val="20"/>
          <w:szCs w:val="20"/>
          <w:color w:val="auto"/>
        </w:rPr>
        <w:t>”: the Federal Deposit Insurance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48" w:name="page49"/>
    <w:bookmarkEnd w:id="48"/>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for any day, the rate calculated by the NYFRB based on such day’s federal funds transactions by depositary institutions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Effective Rate as so determined would be less than zero, such rate shall be deemed to be zero for the purposes of this Agreement.</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Reserve Board</w:t>
      </w:r>
      <w:r>
        <w:rPr>
          <w:rFonts w:ascii="Times New Roman" w:cs="Times New Roman" w:eastAsia="Times New Roman" w:hAnsi="Times New Roman"/>
          <w:sz w:val="20"/>
          <w:szCs w:val="20"/>
          <w:color w:val="auto"/>
        </w:rPr>
        <w:t>”: the Board of Governors of the Federal Reserve System of the United States of America.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Letter of Credit</w:t>
      </w:r>
      <w:r>
        <w:rPr>
          <w:rFonts w:ascii="Times New Roman" w:cs="Times New Roman" w:eastAsia="Times New Roman" w:hAnsi="Times New Roman"/>
          <w:sz w:val="20"/>
          <w:szCs w:val="20"/>
          <w:color w:val="auto"/>
        </w:rPr>
        <w:t>”: a letter of credit that is not a Performance Letter of Credit.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Amendment</w:t>
      </w:r>
      <w:r>
        <w:rPr>
          <w:rFonts w:ascii="Times New Roman" w:cs="Times New Roman" w:eastAsia="Times New Roman" w:hAnsi="Times New Roman"/>
          <w:sz w:val="20"/>
          <w:szCs w:val="20"/>
          <w:color w:val="auto"/>
        </w:rPr>
        <w:t>”: that certain First Amendment to this Agreement, dated as of March 15, 2024.</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Amendment Effective Date</w:t>
      </w:r>
      <w:r>
        <w:rPr>
          <w:rFonts w:ascii="Times New Roman" w:cs="Times New Roman" w:eastAsia="Times New Roman" w:hAnsi="Times New Roman"/>
          <w:sz w:val="20"/>
          <w:szCs w:val="20"/>
          <w:color w:val="auto"/>
        </w:rPr>
        <w:t>”: has the meaning assigned to it in the First Amendment.</w:t>
      </w:r>
    </w:p>
    <w:p>
      <w:pPr>
        <w:spacing w:after="0" w:line="3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Fitch</w:t>
      </w:r>
      <w:r>
        <w:rPr>
          <w:rFonts w:ascii="Times New Roman" w:cs="Times New Roman" w:eastAsia="Times New Roman" w:hAnsi="Times New Roman"/>
          <w:sz w:val="20"/>
          <w:szCs w:val="20"/>
          <w:color w:val="auto"/>
        </w:rPr>
        <w:t>”: Fitch Ratings Inc.</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0.0%.</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at any time there is a Defaulting Lender, such Defaulting Lender’s Percentage Interest of the outstanding L/C Obligations with respect to Letters of Credit issued by such Issuing Lender other than L/C Obligations as to which such Defaulting Lender’s participation obligation has been reallocated to other Lenders or Cash Collateralized in accordance with the terms hereof.</w:t>
      </w:r>
    </w:p>
    <w:p>
      <w:pPr>
        <w:spacing w:after="0" w:line="18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Office</w:t>
      </w:r>
      <w:r>
        <w:rPr>
          <w:rFonts w:ascii="Times New Roman" w:cs="Times New Roman" w:eastAsia="Times New Roman" w:hAnsi="Times New Roman"/>
          <w:sz w:val="20"/>
          <w:szCs w:val="20"/>
          <w:color w:val="auto"/>
        </w:rPr>
        <w:t xml:space="preserve">”: the office of the Administrative Agent specified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such other office as may be specified from time to time by the Administrative Agent as its funding office by written notice to the Borrower and the Lenders.</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generally accepted accounting principles in the United States of America as in effect at the time any determination is made or financial statement is required hereunder as promulgated by the American Institute of Certified Public Accountants, the Accounting Principles Board, the Financial Accounting Standards Board or any other body existing from time to time which is authorized to establish or interpret such principles, applied on a consistent basis throughout any applicable period, subject to any change required by a change in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any change in generally accepted accounting principles from those applied in preparing the financial statements referred to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affects the calculation of any financial covenant contained herein, (i) the Borrower, the Lenders and Administrative Agent hereby agree to make such amendments hereto to the effect that each such financial covenant is not more or less restrictive than such covenant as in effect on the date hereof using generally accepted accounting principles consistent with those reflected in such financial statements, and (ii) pending the effectiveness of such amendment, the Borrower shall not be in Default hereunder if, solely as a result of such change in generally accepted accounting principles, the Borrower is not in compliance with any financial covenant contained herein.</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the government of the United States of America, any other nation or any political subdivision thereof, whether state or local,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corporation or other entity owned or controlled, through stock or capital ownership or otherwise, by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49" w:name="page50"/>
    <w:bookmarkEnd w:id="49"/>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 Agreement</w:t>
      </w:r>
      <w:r>
        <w:rPr>
          <w:rFonts w:ascii="Times New Roman" w:cs="Times New Roman" w:eastAsia="Times New Roman" w:hAnsi="Times New Roman"/>
          <w:sz w:val="19"/>
          <w:szCs w:val="19"/>
          <w:color w:val="auto"/>
        </w:rPr>
        <w:t>”: the Guarantee Agreement to be executed and delivered by each Guarantor, substantially in the form</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xml:space="preserve">”: each of the Borrower’s direct or indirect Subsidiaries listed on </w:t>
      </w:r>
      <w:r>
        <w:rPr>
          <w:rFonts w:ascii="Times New Roman" w:cs="Times New Roman" w:eastAsia="Times New Roman" w:hAnsi="Times New Roman"/>
          <w:sz w:val="20"/>
          <w:szCs w:val="20"/>
          <w:u w:val="single" w:color="auto"/>
          <w:color w:val="auto"/>
        </w:rPr>
        <w:t>Schedule 1.1C</w:t>
      </w:r>
      <w:r>
        <w:rPr>
          <w:rFonts w:ascii="Times New Roman" w:cs="Times New Roman" w:eastAsia="Times New Roman" w:hAnsi="Times New Roman"/>
          <w:sz w:val="20"/>
          <w:szCs w:val="20"/>
          <w:color w:val="auto"/>
        </w:rPr>
        <w:t xml:space="preserve"> hereto and each Subsidiary of the Borrower which becomes a Guarantor pursuant to Section 6.7 (in each case other than any such Subsidiary that has been released from its guarantee under the Guarantee Agreement in compliance with the terms of the Loan Documents).</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Substances</w:t>
      </w:r>
      <w:r>
        <w:rPr>
          <w:rFonts w:ascii="Times New Roman" w:cs="Times New Roman" w:eastAsia="Times New Roman" w:hAnsi="Times New Roman"/>
          <w:sz w:val="20"/>
          <w:szCs w:val="20"/>
          <w:color w:val="auto"/>
        </w:rPr>
        <w:t>”: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Obligations</w:t>
      </w:r>
      <w:r>
        <w:rPr>
          <w:rFonts w:ascii="Times New Roman" w:cs="Times New Roman" w:eastAsia="Times New Roman" w:hAnsi="Times New Roman"/>
          <w:sz w:val="20"/>
          <w:szCs w:val="20"/>
          <w:color w:val="auto"/>
        </w:rPr>
        <w:t>”: of a Person, any and all obligations of such Person, whether absolute or contingent and howsoever and whensoever created, arising evidenced or acquired (including all renewals, extensions and modifications thereof and substitutions therefor), (a) under any and all agreements, devices or arrangements designed to protect at least one of the parties thereto from the fluctuations of interest rates, commodity prices, exchange rates or forward rates applicable to such party’s assets, liabilities, or exchange transaction, including, but not limited to, dollar-denominated or cross-currency interest rate exchange agreements, forward currency exchange agreements, interest rate cap or collar protection agreements, forward rate currency or interest rate options, puts and warrants,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any and all cancellations, buy backs, reversals, terminations or assignments of any of the foregoing.</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Homebuilder</w:t>
      </w:r>
      <w:r>
        <w:rPr>
          <w:rFonts w:ascii="Times New Roman" w:cs="Times New Roman" w:eastAsia="Times New Roman" w:hAnsi="Times New Roman"/>
          <w:sz w:val="20"/>
          <w:szCs w:val="20"/>
          <w:color w:val="auto"/>
        </w:rPr>
        <w:t xml:space="preserve">”: any Person that is listed on the most recent Builder 100 list published by Builder magazine, ranked by revenues or closings (or if such list is no longer published, identified in such other published list or through such other means as is mutually agreed by the Administrative Agent and the Borrower) or any Affiliate of such Person </w:t>
      </w:r>
      <w:r>
        <w:rPr>
          <w:rFonts w:ascii="Times New Roman" w:cs="Times New Roman" w:eastAsia="Times New Roman" w:hAnsi="Times New Roman"/>
          <w:sz w:val="20"/>
          <w:szCs w:val="20"/>
          <w:color w:val="0000FF"/>
        </w:rPr>
        <w:t>that is reasonably identifiable as an Affiliate of such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Person solely on the basis of the similarity of such Affiliate’s name</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4418330</wp:posOffset>
            </wp:positionH>
            <wp:positionV relativeFrom="paragraph">
              <wp:posOffset>-193040</wp:posOffset>
            </wp:positionV>
            <wp:extent cx="27127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12720" cy="8890"/>
                    </a:xfrm>
                    <a:prstGeom prst="rect">
                      <a:avLst/>
                    </a:prstGeom>
                    <a:noFill/>
                  </pic:spPr>
                </pic:pic>
              </a:graphicData>
            </a:graphic>
          </wp:anchor>
        </w:drawing>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ICS</w:t>
      </w:r>
      <w:r>
        <w:rPr>
          <w:rFonts w:ascii="Times New Roman" w:cs="Times New Roman" w:eastAsia="Times New Roman" w:hAnsi="Times New Roman"/>
          <w:sz w:val="20"/>
          <w:szCs w:val="20"/>
          <w:color w:val="auto"/>
        </w:rPr>
        <w:t>”: Insured Cash Sweep.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Increased Facility Closing Date</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of any Person at any date, without duplication, (a) all liabilities and obligations, contingent or otherwise, of such Person, (i) in respect of borrowed money, (ii) evidenced by bonds, notes, debentures or similar instruments, (iii) representing the balance deferred and unpaid of the purchase price of any property or services, except those incurred in the ordinary course of its business that would constitute ordinarily a trade payable to trade creditors (but specifically excluding from such exception the deferred purchase price of Real Property Inventory), (iv) evidenced by bankers’ acceptances, (v) consisting of obligations, whether or not assumed, secured by Liens or payable out of the proceeds or production from property now or hereafter owned or acquired by such Person, except Liens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of the definition of” Permitted Liens”, so long as the obligations secured thereby are not more than sixty (60) days delinquent, (vi) consisting of Capitalized Lease Obligations (including any Capitalized Leases entered into as a part of a sale/leaseback transaction), (vii) consisting of liabilities and obligations under any receivable sales transactions, (viii) consisting of a Financial Letter of Credit (but excluding Performance Letters of Credit or performance or surety bonds) or a reimbursement obligation of such Person with respect to any Financial Letter of Credit (but excluding Performance Letters of Credit or performance or surety bonds), (ix) consisting of Hedging Obligations, (x) consisting of Off-Balance Sheet Liabilities or (xi) consisting of Contingent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13" w:right="339" w:bottom="1440" w:gutter="0" w:footer="0" w:header="0"/>
        </w:sectPr>
      </w:pPr>
    </w:p>
    <w:bookmarkStart w:id="50" w:name="page51"/>
    <w:bookmarkEnd w:id="50"/>
    <w:p>
      <w:pPr>
        <w:jc w:val="both"/>
        <w:spacing w:after="0" w:line="283" w:lineRule="auto"/>
        <w:rPr>
          <w:sz w:val="20"/>
          <w:szCs w:val="20"/>
          <w:color w:val="auto"/>
        </w:rPr>
      </w:pPr>
      <w:r>
        <w:rPr>
          <w:rFonts w:ascii="Times New Roman" w:cs="Times New Roman" w:eastAsia="Times New Roman" w:hAnsi="Times New Roman"/>
          <w:sz w:val="20"/>
          <w:szCs w:val="20"/>
          <w:color w:val="auto"/>
        </w:rPr>
        <w:t>and (b) obligations of such Person to purchase Securities or other property arising out of or in connection with the sale of the same or substantially similar securities or property.</w:t>
      </w:r>
    </w:p>
    <w:p>
      <w:pPr>
        <w:spacing w:after="0" w:line="146" w:lineRule="exact"/>
        <w:rPr>
          <w:sz w:val="20"/>
          <w:szCs w:val="20"/>
          <w:color w:val="auto"/>
        </w:rPr>
      </w:pPr>
    </w:p>
    <w:p>
      <w:pPr>
        <w:jc w:val="both"/>
        <w:ind w:firstLine="1296"/>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Taxes</w:t>
      </w:r>
      <w:r>
        <w:rPr>
          <w:rFonts w:ascii="Times New Roman" w:cs="Times New Roman" w:eastAsia="Times New Roman" w:hAnsi="Times New Roman"/>
          <w:sz w:val="19"/>
          <w:szCs w:val="19"/>
          <w:color w:val="auto"/>
        </w:rPr>
        <w:t>”: (a) Taxes, other than Excluded Taxes, imposed on or with respect to any payment made by or on account of any obligation of the Borrower under any Loan Document and (b) to the extent not otherwise described in (a) hereof, Other Taxes.</w:t>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10.5(c)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Intangible Assets</w:t>
      </w:r>
      <w:r>
        <w:rPr>
          <w:rFonts w:ascii="Times New Roman" w:cs="Times New Roman" w:eastAsia="Times New Roman" w:hAnsi="Times New Roman"/>
          <w:sz w:val="20"/>
          <w:szCs w:val="20"/>
          <w:color w:val="auto"/>
        </w:rPr>
        <w:t>”: assets that are considered to be intangible assets under GAAP, including customer lists, goodwill, copyrights, trade names, trademarks, patents, franchises, licenses, unamortized deferred charges and unamortized debt discount.</w:t>
      </w:r>
    </w:p>
    <w:p>
      <w:pPr>
        <w:spacing w:after="0" w:line="133" w:lineRule="exact"/>
        <w:rPr>
          <w:sz w:val="20"/>
          <w:szCs w:val="20"/>
          <w:color w:val="auto"/>
        </w:rPr>
      </w:pPr>
    </w:p>
    <w:p>
      <w:pPr>
        <w:jc w:val="both"/>
        <w:ind w:right="20" w:firstLine="88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as of any date, for the applicable period of the four quarters then ended, the ratio of (a) Consolidated EBITDA to (b) Consolidated Interest Incurred.</w:t>
      </w:r>
    </w:p>
    <w:p>
      <w:pPr>
        <w:spacing w:after="0" w:line="148"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(a) with respect to any ABR Loan, the last day of each March, June, September and December and the Termination Date, (b) with respect to any RFR Loan (solely if applicable after the effectiveness of a Benchmark Replacement or</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otherwise pursuant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(1) each date that is on the numerically corresponding day in each calendar month that is one month after the Borrowing of such Loan (or, if there is no such numerically corresponding day in such month, then the last day of such month) and (2)</w:t>
      </w:r>
    </w:p>
    <w:p>
      <w:pPr>
        <w:spacing w:after="0" w:line="211" w:lineRule="auto"/>
        <w:rPr>
          <w:sz w:val="20"/>
          <w:szCs w:val="20"/>
          <w:color w:val="auto"/>
        </w:rPr>
      </w:pPr>
      <w:r>
        <w:rPr>
          <w:rFonts w:ascii="Times New Roman" w:cs="Times New Roman" w:eastAsia="Times New Roman" w:hAnsi="Times New Roman"/>
          <w:sz w:val="20"/>
          <w:szCs w:val="20"/>
          <w:color w:val="auto"/>
        </w:rPr>
        <w:t>the Termination Date and (c) with respect to any Term Benchmark Loan, the last day of each Interest Period applicable to the Borrowing of</w:t>
      </w:r>
    </w:p>
    <w:p>
      <w:pPr>
        <w:jc w:val="both"/>
        <w:spacing w:after="0" w:line="215" w:lineRule="auto"/>
        <w:rPr>
          <w:sz w:val="20"/>
          <w:szCs w:val="20"/>
          <w:color w:val="auto"/>
        </w:rPr>
      </w:pPr>
      <w:r>
        <w:rPr>
          <w:rFonts w:ascii="Times New Roman" w:cs="Times New Roman" w:eastAsia="Times New Roman" w:hAnsi="Times New Roman"/>
          <w:sz w:val="19"/>
          <w:szCs w:val="19"/>
          <w:color w:val="auto"/>
        </w:rPr>
        <w:t>which such Loan is a part and, in the case of a Term Benchmark Borrowing with an Interest Period of more than three months’ duration, each day prior to the last day of such Interest Period that occurs at intervals of three months’ duration after the first day of such Interest Period,</w:t>
      </w:r>
    </w:p>
    <w:p>
      <w:pPr>
        <w:spacing w:after="0"/>
        <w:rPr>
          <w:sz w:val="20"/>
          <w:szCs w:val="20"/>
          <w:color w:val="auto"/>
        </w:rPr>
      </w:pPr>
      <w:r>
        <w:rPr>
          <w:rFonts w:ascii="Times New Roman" w:cs="Times New Roman" w:eastAsia="Times New Roman" w:hAnsi="Times New Roman"/>
          <w:sz w:val="20"/>
          <w:szCs w:val="20"/>
          <w:color w:val="auto"/>
        </w:rPr>
        <w:t>and the Termination Date.</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cs="Times New Roman" w:eastAsia="Times New Roman" w:hAnsi="Times New Roman"/>
          <w:sz w:val="20"/>
          <w:szCs w:val="20"/>
          <w:u w:val="single" w:color="auto"/>
          <w:color w:val="auto"/>
        </w:rPr>
        <w:t>Section 2.13(e)</w:t>
      </w:r>
      <w:r>
        <w:rPr>
          <w:rFonts w:ascii="Times New Roman" w:cs="Times New Roman" w:eastAsia="Times New Roman" w:hAnsi="Times New Roman"/>
          <w:sz w:val="20"/>
          <w:szCs w:val="20"/>
          <w:color w:val="auto"/>
        </w:rPr>
        <w:t xml:space="preserve"> shall be available for specification in such borrowing request or interest election request.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(a) the purchase or other acquisition of capital stock or other securities of another Person (including as a Division Successor pursuant to a Division of any Person that was not a Wholly-Owned Subsidiary prior to such Division), (b) a loan, advance, extension of credit (by way of guaranty or otherwise) or capital contribution to another Person or (c) the purchase or other acquisition of assets of another Person that constitute a business unit. For purposes hereof, the book value of any Investment shall be calculated in accordance with GAAP.</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4.20</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the United States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51" w:name="page52"/>
    <w:bookmarkEnd w:id="51"/>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Issuance Date</w:t>
      </w:r>
      <w:r>
        <w:rPr>
          <w:rFonts w:ascii="Times New Roman" w:cs="Times New Roman" w:eastAsia="Times New Roman" w:hAnsi="Times New Roman"/>
          <w:sz w:val="20"/>
          <w:szCs w:val="20"/>
          <w:color w:val="auto"/>
        </w:rPr>
        <w:t>”: the date of issuance of a Letter of Credit by an Issuing Lender.</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Lender</w:t>
      </w:r>
      <w:r>
        <w:rPr>
          <w:rFonts w:ascii="Times New Roman" w:cs="Times New Roman" w:eastAsia="Times New Roman" w:hAnsi="Times New Roman"/>
          <w:sz w:val="20"/>
          <w:szCs w:val="20"/>
          <w:color w:val="auto"/>
        </w:rPr>
        <w:t xml:space="preserve">”: each of JPMorgan Chase Bank, N.A., </w:t>
      </w:r>
      <w:r>
        <w:rPr>
          <w:rFonts w:ascii="Times New Roman" w:cs="Times New Roman" w:eastAsia="Times New Roman" w:hAnsi="Times New Roman"/>
          <w:sz w:val="20"/>
          <w:szCs w:val="20"/>
          <w:color w:val="FF0000"/>
          <w:strike w:val="1"/>
        </w:rPr>
        <w:t>Regions Bank,</w:t>
      </w:r>
      <w:r>
        <w:rPr>
          <w:rFonts w:ascii="Times New Roman" w:cs="Times New Roman" w:eastAsia="Times New Roman" w:hAnsi="Times New Roman"/>
          <w:sz w:val="20"/>
          <w:szCs w:val="20"/>
          <w:color w:val="auto"/>
        </w:rPr>
        <w:t xml:space="preserve"> Royal Bank of Canada, </w:t>
      </w:r>
      <w:r>
        <w:rPr>
          <w:rFonts w:ascii="Times New Roman" w:cs="Times New Roman" w:eastAsia="Times New Roman" w:hAnsi="Times New Roman"/>
          <w:sz w:val="20"/>
          <w:szCs w:val="20"/>
          <w:u w:val="single" w:color="auto"/>
          <w:color w:val="0000FF"/>
        </w:rPr>
        <w:t>Truist</w:t>
      </w:r>
      <w:r>
        <w:rPr>
          <w:rFonts w:ascii="Times New Roman" w:cs="Times New Roman" w:eastAsia="Times New Roman" w:hAnsi="Times New Roman"/>
          <w:sz w:val="20"/>
          <w:szCs w:val="20"/>
          <w:color w:val="auto"/>
        </w:rPr>
        <w:t xml:space="preserve"> Bank </w:t>
      </w:r>
      <w:r>
        <w:rPr>
          <w:rFonts w:ascii="Times New Roman" w:cs="Times New Roman" w:eastAsia="Times New Roman" w:hAnsi="Times New Roman"/>
          <w:sz w:val="20"/>
          <w:szCs w:val="20"/>
          <w:color w:val="FF0000"/>
        </w:rPr>
        <w:t>of America,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N.A., Goldman Sachs Lending Partners LLC and Flagstar Bank, FSB</w:t>
      </w:r>
      <w:r>
        <w:rPr>
          <w:rFonts w:ascii="Times New Roman" w:cs="Times New Roman" w:eastAsia="Times New Roman" w:hAnsi="Times New Roman"/>
          <w:sz w:val="20"/>
          <w:szCs w:val="20"/>
          <w:u w:val="single" w:color="auto"/>
          <w:color w:val="0000FF"/>
        </w:rPr>
        <w:t>, Regions Bank and Citizens Bank, N.A.,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each in its capacity as issuer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of any Letter of Credit and any other Lender approved by the Administrative Agent and the Borrower that has agreed in its sole discretion to act as an “Issuing Lender” hereunder, or any of their respective affiliates, in each case in its capacity as issuer of any Letter of Credit. Each reference herein to “the Issuing Lender” shall be deemed to be a reference to the relevant Issuing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-685800</wp:posOffset>
            </wp:positionV>
            <wp:extent cx="6654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5480" cy="8255"/>
                    </a:xfrm>
                    <a:prstGeom prst="rect">
                      <a:avLst/>
                    </a:prstGeom>
                    <a:noFill/>
                  </pic:spPr>
                </pic:pic>
              </a:graphicData>
            </a:graphic>
          </wp:anchor>
        </w:drawing>
      </w:r>
    </w:p>
    <w:p>
      <w:pPr>
        <w:spacing w:after="0" w:line="172"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Venture</w:t>
      </w:r>
      <w:r>
        <w:rPr>
          <w:rFonts w:ascii="Times New Roman" w:cs="Times New Roman" w:eastAsia="Times New Roman" w:hAnsi="Times New Roman"/>
          <w:sz w:val="20"/>
          <w:szCs w:val="20"/>
          <w:color w:val="auto"/>
        </w:rPr>
        <w:t>”: any Person, other than a Subsidiary, in which the Borrower or a Subsidiary holds any stock, partnership interest, joint venture interest, limited liability company interest or other equity interest.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10.20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xml:space="preserve">”: with respect to each Issuing Lender, the commitment of such Issuing Lender to issue Letters of Credit hereunder. The </w:t>
      </w:r>
      <w:r>
        <w:rPr>
          <w:rFonts w:ascii="Times New Roman" w:cs="Times New Roman" w:eastAsia="Times New Roman" w:hAnsi="Times New Roman"/>
          <w:sz w:val="20"/>
          <w:szCs w:val="20"/>
          <w:color w:val="FF0000"/>
          <w:strike w:val="1"/>
        </w:rPr>
        <w:t>initial</w:t>
      </w:r>
      <w:r>
        <w:rPr>
          <w:rFonts w:ascii="Times New Roman" w:cs="Times New Roman" w:eastAsia="Times New Roman" w:hAnsi="Times New Roman"/>
          <w:sz w:val="20"/>
          <w:szCs w:val="20"/>
          <w:color w:val="auto"/>
        </w:rPr>
        <w:t xml:space="preserve"> amount of each Issuing Lender’s L/C Commitment </w:t>
      </w:r>
      <w:r>
        <w:rPr>
          <w:rFonts w:ascii="Times New Roman" w:cs="Times New Roman" w:eastAsia="Times New Roman" w:hAnsi="Times New Roman"/>
          <w:sz w:val="20"/>
          <w:szCs w:val="20"/>
          <w:u w:val="single" w:color="auto"/>
          <w:color w:val="0000FF"/>
        </w:rPr>
        <w:t>as of the Third Amendment Effective Date</w:t>
      </w:r>
      <w:r>
        <w:rPr>
          <w:rFonts w:ascii="Times New Roman" w:cs="Times New Roman" w:eastAsia="Times New Roman" w:hAnsi="Times New Roman"/>
          <w:sz w:val="20"/>
          <w:szCs w:val="20"/>
          <w:color w:val="auto"/>
        </w:rPr>
        <w:t xml:space="preserve"> is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3.1A</w:t>
      </w:r>
      <w:r>
        <w:rPr>
          <w:rFonts w:ascii="Times New Roman" w:cs="Times New Roman" w:eastAsia="Times New Roman" w:hAnsi="Times New Roman"/>
          <w:sz w:val="20"/>
          <w:szCs w:val="20"/>
          <w:color w:val="auto"/>
        </w:rPr>
        <w:t xml:space="preserve">, or if an Issuing Lender has entered into an Assignment and Assumption or has otherwise assumed a L/C Commitment after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Third Amendment Effective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Date, the amount set forth for such Issuing Lender as its L/C Commitment in the Register maintained by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the Administrative Agent. The L/C Commitment of an Issuing Lender may be modified from time to time by agreement between such Issuing Lender and the Borrower, and notified to the Administrative Agent. The </w:t>
      </w:r>
      <w:r>
        <w:rPr>
          <w:rFonts w:ascii="Times New Roman" w:cs="Times New Roman" w:eastAsia="Times New Roman" w:hAnsi="Times New Roman"/>
          <w:sz w:val="20"/>
          <w:szCs w:val="20"/>
          <w:color w:val="FF0000"/>
          <w:strike w:val="1"/>
        </w:rPr>
        <w:t>original</w:t>
      </w:r>
      <w:r>
        <w:rPr>
          <w:rFonts w:ascii="Times New Roman" w:cs="Times New Roman" w:eastAsia="Times New Roman" w:hAnsi="Times New Roman"/>
          <w:sz w:val="20"/>
          <w:szCs w:val="20"/>
          <w:color w:val="000000"/>
        </w:rPr>
        <w:t xml:space="preserve"> aggregate amount of the L/C Commitments </w:t>
      </w:r>
      <w:r>
        <w:rPr>
          <w:rFonts w:ascii="Times New Roman" w:cs="Times New Roman" w:eastAsia="Times New Roman" w:hAnsi="Times New Roman"/>
          <w:sz w:val="20"/>
          <w:szCs w:val="20"/>
          <w:u w:val="single" w:color="auto"/>
          <w:color w:val="0000FF"/>
        </w:rPr>
        <w:t>on the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Third Amendment Effective Date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is $</w:t>
      </w:r>
      <w:r>
        <w:rPr>
          <w:rFonts w:ascii="Times New Roman" w:cs="Times New Roman" w:eastAsia="Times New Roman" w:hAnsi="Times New Roman"/>
          <w:sz w:val="20"/>
          <w:szCs w:val="20"/>
          <w:color w:val="FF0000"/>
          <w:strike w:val="1"/>
        </w:rPr>
        <w:t>100,000,000</w:t>
      </w:r>
      <w:r>
        <w:rPr>
          <w:rFonts w:ascii="Times New Roman" w:cs="Times New Roman" w:eastAsia="Times New Roman" w:hAnsi="Times New Roman"/>
          <w:sz w:val="20"/>
          <w:szCs w:val="20"/>
          <w:u w:val="single" w:color="auto"/>
          <w:color w:val="0000FF"/>
        </w:rPr>
        <w:t>133,490,566.04</w:t>
      </w:r>
      <w:r>
        <w:rPr>
          <w:rFonts w:ascii="Times New Roman" w:cs="Times New Roman" w:eastAsia="Times New Roman" w:hAnsi="Times New Roman"/>
          <w:sz w:val="20"/>
          <w:szCs w:val="20"/>
          <w:color w:val="000000"/>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a payment made by an Issuing Lender pursuant to a Letter of Credit.</w:t>
      </w:r>
    </w:p>
    <w:p>
      <w:pPr>
        <w:spacing w:after="0" w:line="21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at any time, an amount equal to the sum of (a) the aggregate then undrawn and unexpired amount of the then outstanding Letters of Credit and (b) the aggregate amount of drawings under Letters of Credit that have not then been reimbursed pursuant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Lender and the Lenders shall have no further obligations to make any payments or disbursements under any circumstances with respect to any Letter of Credit.</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Participants</w:t>
      </w:r>
      <w:r>
        <w:rPr>
          <w:rFonts w:ascii="Times New Roman" w:cs="Times New Roman" w:eastAsia="Times New Roman" w:hAnsi="Times New Roman"/>
          <w:sz w:val="20"/>
          <w:szCs w:val="20"/>
          <w:color w:val="auto"/>
        </w:rPr>
        <w:t>”: the collective reference to all the Lenders other than the Issuing Lender.</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Sublimit</w:t>
      </w:r>
      <w:r>
        <w:rPr>
          <w:rFonts w:ascii="Times New Roman" w:cs="Times New Roman" w:eastAsia="Times New Roman" w:hAnsi="Times New Roman"/>
          <w:sz w:val="20"/>
          <w:szCs w:val="20"/>
          <w:color w:val="auto"/>
        </w:rPr>
        <w:t>”: $100,000,000.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52" w:name="page53"/>
    <w:bookmarkEnd w:id="52"/>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Land Under Development</w:t>
      </w:r>
      <w:r>
        <w:rPr>
          <w:rFonts w:ascii="Times New Roman" w:cs="Times New Roman" w:eastAsia="Times New Roman" w:hAnsi="Times New Roman"/>
          <w:sz w:val="20"/>
          <w:szCs w:val="20"/>
          <w:color w:val="auto"/>
        </w:rPr>
        <w:t>”: Entitled Land Held For Future Development where physical site improvement has commenced but which is not a Unit Under Construction, Completed Unit, Model Unit or Unit Under Contract.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Parent</w:t>
      </w:r>
      <w:r>
        <w:rPr>
          <w:rFonts w:ascii="Times New Roman" w:cs="Times New Roman" w:eastAsia="Times New Roman" w:hAnsi="Times New Roman"/>
          <w:sz w:val="20"/>
          <w:szCs w:val="20"/>
          <w:color w:val="auto"/>
        </w:rPr>
        <w:t>”: with respect to any Lender, any Person as to which such Lender is, directly or indirectly, a subsidiary.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Lender-Related Person</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has the meaning assigned to it in the preamble hereto.</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any letter of credit issued pursuant to this Agreement.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Agreement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Ratio</w:t>
      </w:r>
      <w:r>
        <w:rPr>
          <w:rFonts w:ascii="Times New Roman" w:cs="Times New Roman" w:eastAsia="Times New Roman" w:hAnsi="Times New Roman"/>
          <w:sz w:val="20"/>
          <w:szCs w:val="20"/>
          <w:color w:val="auto"/>
        </w:rPr>
        <w:t xml:space="preserve">”: the ratio, as of any date, of (a) Consolidated Debt,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Unrestricted Cash, to the extent Unrestricted Cash exceeds the Required Liquidity, </w:t>
      </w:r>
      <w:r>
        <w:rPr>
          <w:rFonts w:ascii="Times New Roman" w:cs="Times New Roman" w:eastAsia="Times New Roman" w:hAnsi="Times New Roman"/>
          <w:sz w:val="20"/>
          <w:szCs w:val="20"/>
          <w:u w:val="single" w:color="auto"/>
          <w:color w:val="auto"/>
        </w:rPr>
        <w:t>divided by</w:t>
      </w:r>
      <w:r>
        <w:rPr>
          <w:rFonts w:ascii="Times New Roman" w:cs="Times New Roman" w:eastAsia="Times New Roman" w:hAnsi="Times New Roman"/>
          <w:sz w:val="20"/>
          <w:szCs w:val="20"/>
          <w:color w:val="auto"/>
        </w:rPr>
        <w:t xml:space="preserve"> (b) Consolidated Debt,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Unrestricted Cash, to the extent Unrestricted Cash exceeds the Required Liquidity,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Consolidated Tangible Net Worth.</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any losses, claims (including intraparty claims), demands, damages or liabilities of any kind.</w:t>
      </w:r>
    </w:p>
    <w:p>
      <w:pPr>
        <w:spacing w:after="0" w:line="21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any mortgage, deed of trust, pledge, hypothecation, assignment, deposit arrangement, charge, encumbrance, lien (statutory or other), preference, priority or other security agreement or similar preferential arrangement of any kind or nature whatsoever (including without limitation any conditional sale or other title retention agreement, any financing lease having substantially the same economic effect as any of the foregoing, and the authorized filing by or against a Person of any financing statement as debtor under the Uniform Commercial Code or comparable law of any jurisdiction). For the avoidance of doubt, a restriction, covenant, easement, right of way, or similar encumbrance affecting any interest in real property owned by any Loan Party and which does not secure an obligation to pay money is not a Lien.</w:t>
      </w:r>
    </w:p>
    <w:p>
      <w:pPr>
        <w:spacing w:after="0" w:line="17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at any time, the sum of (i) all Unrestricted Cash held by the Loan Parties and their consolidated Subsidiaries and (ii) the Revolver Availability.</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LLC</w:t>
      </w:r>
      <w:r>
        <w:rPr>
          <w:rFonts w:ascii="Times New Roman" w:cs="Times New Roman" w:eastAsia="Times New Roman" w:hAnsi="Times New Roman"/>
          <w:sz w:val="20"/>
          <w:szCs w:val="20"/>
          <w:color w:val="auto"/>
        </w:rPr>
        <w:t>”: any Person that is a limited liability company under the laws of its jurisdiction of formation.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any Revolving Loan made by any Lender pursuant to this Agreement.</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this Agreement, the Guarantee Agreement, the Notes, applications in connection with the issuance of Letters of Credit and any amendment, waiver, supplement or other modification to any of the foregoing.</w:t>
      </w:r>
    </w:p>
    <w:p>
      <w:pPr>
        <w:spacing w:after="0" w:line="17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as of any date, collectively, the Borrower and the Guarantors.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shall mean, the Borrower or any Guarantor,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13" w:right="339" w:bottom="1440" w:gutter="0" w:footer="0" w:header="0"/>
        </w:sectPr>
      </w:pPr>
    </w:p>
    <w:bookmarkStart w:id="53" w:name="page54"/>
    <w:bookmarkEnd w:id="53"/>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since the date of the audited financial statements most recently delivered prior to the Closing</w:t>
      </w:r>
    </w:p>
    <w:p>
      <w:pPr>
        <w:spacing w:after="0" w:line="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Date: (a) a change, event or circumstance that could reasonably be expected to result in a material adverse effect on the business, assets, operations or financial condition of Loan Parties and their Subsidiaries, taken as a whole; (b) a material impairment of the ability of the Borrower or any other Loan Party to perform its payment or other material obligations under any loan document to which it is a party; or (c) a material adverse effect upon the legality, validity, binding effect, or enforceability against the Borrower or any other Loan Party of any material obligations of the Borrower or any other Loan Party under any loan document to which it is a party.</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Amount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Collateral Amount</w:t>
      </w:r>
      <w:r>
        <w:rPr>
          <w:rFonts w:ascii="Times New Roman" w:cs="Times New Roman" w:eastAsia="Times New Roman" w:hAnsi="Times New Roman"/>
          <w:sz w:val="20"/>
          <w:szCs w:val="20"/>
          <w:color w:val="auto"/>
        </w:rPr>
        <w:t>”: at any time, (i) with respect to Cash Collateral consisting of cash or deposit account balances, an amount equal to 100% of the Fronting Exposure of all Issuing Lenders with respect to Letters of Credit issued and outstanding at such time and (ii) otherwise, an amount determined by the Administrative Agent and the Issuing Lenders in their sole discretion.</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Liquidity Amount</w:t>
      </w:r>
      <w:r>
        <w:rPr>
          <w:rFonts w:ascii="Times New Roman" w:cs="Times New Roman" w:eastAsia="Times New Roman" w:hAnsi="Times New Roman"/>
          <w:sz w:val="20"/>
          <w:szCs w:val="20"/>
          <w:color w:val="auto"/>
        </w:rPr>
        <w:t>”: $40,000,000.</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Model Unit</w:t>
      </w:r>
      <w:r>
        <w:rPr>
          <w:rFonts w:ascii="Times New Roman" w:cs="Times New Roman" w:eastAsia="Times New Roman" w:hAnsi="Times New Roman"/>
          <w:sz w:val="20"/>
          <w:szCs w:val="20"/>
          <w:color w:val="auto"/>
        </w:rPr>
        <w:t>”: a Completed Unit to be used as a model home in connection with the sale of Units in a residential housing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project.</w:t>
      </w:r>
    </w:p>
    <w:p>
      <w:pPr>
        <w:spacing w:after="0" w:line="3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Moody’s Investors Service, Inc.</w:t>
      </w:r>
    </w:p>
    <w:p>
      <w:pPr>
        <w:spacing w:after="0" w:line="10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any employee benefit plan of the type described in Section 4001(a)(3) of ERISA, to which any Loan Party or any ERISA Affiliate makes or is obligated to make contributions, or during the preceding five plan years, has made or been obligated to make contributions.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Lender</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Lender Supplement”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Non-Recourse Indebtedness</w:t>
      </w:r>
      <w:r>
        <w:rPr>
          <w:rFonts w:ascii="Times New Roman" w:cs="Times New Roman" w:eastAsia="Times New Roman" w:hAnsi="Times New Roman"/>
          <w:sz w:val="20"/>
          <w:szCs w:val="20"/>
          <w:color w:val="auto"/>
        </w:rPr>
        <w:t>”: Indebtedness of a Loan Party for which its liability is limited to the Real Property Inventory upon which it grants a Lien to the holder of such Indebtedness as security for such Indebtedness (including, in the case of Indebtedness of a Subsidiary that holds title to Real Property Inventory, liability of that Subsidiary and liabilities secured by a pledge of the equity interests of such Subsidiary (if such Real Property Inventory constitutes all or substantially all the assets of such Subsidiary)).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Lender</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2.16(f)(ii)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the collective reference to any promissory note evidencing Loans.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the Federal Reserve Bank of New York.</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xml:space="preserve">”: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none of such rates are published for any day that is a Business Day, the term “NYFRB Rate” means the rate for a federal funds transaction quoted at 11:00 a.m. on such day received by the Administrative Agent from a federal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13" w:right="339" w:bottom="1440" w:gutter="0" w:footer="0" w:header="0"/>
        </w:sectPr>
      </w:pPr>
    </w:p>
    <w:bookmarkStart w:id="54" w:name="page55"/>
    <w:bookmarkEnd w:id="54"/>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broker of recognized standing selected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any of the aforesaid rates shall be less than zero, such rate shall be deemed to be zero for purposes of this Agreement.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NYFRB’s Website</w:t>
      </w:r>
      <w:r>
        <w:rPr>
          <w:rFonts w:ascii="Times New Roman" w:cs="Times New Roman" w:eastAsia="Times New Roman" w:hAnsi="Times New Roman"/>
          <w:sz w:val="20"/>
          <w:szCs w:val="20"/>
          <w:color w:val="auto"/>
        </w:rPr>
        <w:t>”: the website of the NYFRB at http://www.newyorkfed.org, or any successor source.</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all advances to, and debts, liabilities and obligations of, the Borrower and Guarantors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the Borrower or any Guarantor or any Affiliate thereof of any proceeding under any bankruptcy or insolvency naming such Person as the debtor in such proceeding, regardless of whether such interest and fees are allowed claims in such proceeding. Without limiting the foregoing, the Obligations include (a) the obligation to pay principal, interest, Letter of Credit commissions, charges, expenses, fees, indemnities and other amounts payable by the Borrower or any Guarantor under any Loan Document and (b) the obligation of the Borrower to reimburse any amount in respect of any of the foregoing that the Administrative Agent or any Lender, in each case in its sole discretion, may elect to pay or advance on behalf of the Borrower.</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Off-Balance Sheet Liabilities</w:t>
      </w:r>
      <w:r>
        <w:rPr>
          <w:rFonts w:ascii="Times New Roman" w:cs="Times New Roman" w:eastAsia="Times New Roman" w:hAnsi="Times New Roman"/>
          <w:sz w:val="20"/>
          <w:szCs w:val="20"/>
          <w:color w:val="auto"/>
        </w:rPr>
        <w:t>”: (a) any repurchase obligation or liability of such Person or any of its Subsidiaries with respect to accounts or notes receivable sold by such Person or any of its Subsidiaries, (b) any liability of such Person or any of its Subsidiaries under any financing lease, any synthetic lease (under which all or a portion of the rent payments made by the lessee are treated, for tax purposes, as payments of interest, notwithstanding that the lease may constitute an operating lease under GAAP) or any other similar lease transaction, or (c) any obligations of such Person or any of its Subsidiaries arising with respect to any other transaction which is the functional equivalent of or takes the place of borrowing and which has an actual or implied interest component but which does not constitute a liability on the consolidated balance sheets of such Person and its Subsidiaries.</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xml:space="preserve">”: as of any date, the aggregate principal amount of Loans outstanding after giving effect to any borrowings, repayments and prepayments on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amount of L/C Obligations outstanding on such date after giving effect to any issuance or reimbursements made on such date.</w:t>
      </w:r>
    </w:p>
    <w:p>
      <w:pPr>
        <w:spacing w:after="0" w:line="16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for any day, the rate comprised of both overnight federal funds and overnight eurodollar transactions denominated in Dollars by U.S.-managed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55" w:name="page56"/>
    <w:bookmarkEnd w:id="55"/>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9.12</w:t>
      </w:r>
      <w:r>
        <w:rPr>
          <w:rFonts w:ascii="Times New Roman" w:cs="Times New Roman" w:eastAsia="Times New Roman" w:hAnsi="Times New Roman"/>
          <w:sz w:val="20"/>
          <w:szCs w:val="20"/>
          <w:u w:val="single" w:color="auto"/>
          <w:color w:val="0000FF"/>
        </w:rPr>
        <w:t>9.13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9.12</w:t>
      </w:r>
      <w:r>
        <w:rPr>
          <w:rFonts w:ascii="Times New Roman" w:cs="Times New Roman" w:eastAsia="Times New Roman" w:hAnsi="Times New Roman"/>
          <w:sz w:val="20"/>
          <w:szCs w:val="20"/>
          <w:u w:val="single" w:color="auto"/>
          <w:color w:val="0000FF"/>
        </w:rPr>
        <w:t>9.13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the Pension Benefit Guaranty Corporation established pursuant to Subtitle A of Title IV of ERISA (or any successor entity).</w:t>
      </w:r>
    </w:p>
    <w:p>
      <w:pPr>
        <w:spacing w:after="0" w:line="146"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Percentage Interest</w:t>
      </w:r>
      <w:r>
        <w:rPr>
          <w:rFonts w:ascii="Times New Roman" w:cs="Times New Roman" w:eastAsia="Times New Roman" w:hAnsi="Times New Roman"/>
          <w:sz w:val="19"/>
          <w:szCs w:val="19"/>
          <w:color w:val="auto"/>
        </w:rPr>
        <w:t xml:space="preserve">”: as to any Lender at any time, the percentage which such Lender’s Commitment then constitutes of the Total Commitments or, at any time after the Commitments shall have expired or terminated, the percentage which the aggregate principal amount of such Lender’s Loans then outstanding constitutes of the aggregate principal amount of the Loans then outstanding;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the Loans are paid in full prior to the reduction to zero of the Outstanding Amount, the Percentage Interests shall be determined in a manner designed to ensure that the remaining Outstanding Amount shall be held by the Lenders on a comparable basis.</w:t>
      </w:r>
    </w:p>
    <w:p>
      <w:pPr>
        <w:spacing w:after="0" w:line="15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Letter of Credit</w:t>
      </w:r>
      <w:r>
        <w:rPr>
          <w:rFonts w:ascii="Times New Roman" w:cs="Times New Roman" w:eastAsia="Times New Roman" w:hAnsi="Times New Roman"/>
          <w:sz w:val="20"/>
          <w:szCs w:val="20"/>
          <w:color w:val="auto"/>
        </w:rPr>
        <w:t>”: any letter of credit issued: (a) on behalf of a Person in favor of a Governmental Authority, including, without limitation, any utility, water, or sewer authority, or other similar entity, for the purpose of assuring such Governmental Authority that such Person or an Affiliate of such Person will properly and timely complete work it has agreed to perform for the benefit of such Governmental Authority; (b) in lieu of cash deposits to obtain a license, in place of a utility deposit, or for land option contracts; (c) in lieu of other contract performance, to secure performance warranties payable upon breach, and to secure the performance of labor and materials, including, without limitation, construction, bid, and performance bonds; or (d) to secure refund or advance payments on contractual obligations where default of a performance-related contract has occurred.</w:t>
      </w:r>
    </w:p>
    <w:p>
      <w:pPr>
        <w:spacing w:after="0" w:line="17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Investments</w:t>
      </w:r>
      <w:r>
        <w:rPr>
          <w:rFonts w:ascii="Times New Roman" w:cs="Times New Roman" w:eastAsia="Times New Roman" w:hAnsi="Times New Roman"/>
          <w:sz w:val="19"/>
          <w:szCs w:val="19"/>
          <w:color w:val="auto"/>
        </w:rPr>
        <w:t>”: (a) readily marketable, direct, full faith, and credit obligations of the United States, or obligations guaranteed by the full faith and credit of the United States, maturing within not more than eighteen (18) months from the date of acquisition;</w:t>
      </w:r>
    </w:p>
    <w:p>
      <w:pPr>
        <w:spacing w:after="0" w:line="1" w:lineRule="exact"/>
        <w:rPr>
          <w:sz w:val="20"/>
          <w:szCs w:val="20"/>
          <w:color w:val="auto"/>
        </w:rPr>
      </w:pPr>
    </w:p>
    <w:p>
      <w:pPr>
        <w:jc w:val="both"/>
        <w:ind w:firstLine="8"/>
        <w:spacing w:after="0" w:line="247" w:lineRule="auto"/>
        <w:tabs>
          <w:tab w:leader="none" w:pos="2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term certificates of deposit and time deposits, which mature within eighteen (18) months from the date of issuance and which are maintained with a Lender, a domestic commercial bank having capital and surplus in excess of $100,000,000 or are fully insured by the FDIC, including, for the avoidance of doubt, investments placed through CDARS and ICS; (c) commercial paper or master notes maturing in 365 days or less from the date of issuance rated either “P-1” by Moody’s, or “A” by S&amp;P); (d) debt instruments of a domestic issuer which mature in one (1) year or less and which are rated “A” or better by Moody’s or S&amp;P on the date of acquisition of such investment; (e) demand deposit accounts which are maintained in the ordinary course of business; (f) short term tax exempt securities including municipal notes, commercial paper, auction rate floaters, and floating rate notes rated either “P-1” by Moody’s or “A-1” by S&amp;P which mature in one</w:t>
      </w:r>
    </w:p>
    <w:p>
      <w:pPr>
        <w:spacing w:after="0" w:line="3" w:lineRule="exact"/>
        <w:rPr>
          <w:rFonts w:ascii="Times New Roman" w:cs="Times New Roman" w:eastAsia="Times New Roman" w:hAnsi="Times New Roman"/>
          <w:sz w:val="20"/>
          <w:szCs w:val="20"/>
          <w:color w:val="auto"/>
        </w:rPr>
      </w:pPr>
    </w:p>
    <w:p>
      <w:pPr>
        <w:jc w:val="both"/>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year or less; (g) marketable direct obligations issued by any state of the United States or any political subdivision of any such state or any public instrumentality thereof maturing within not more than one (1) year from the date of acquisition thereof and, at the time of acquisition, having one (1) of the two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13"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highest ratings obtainable from any two of S&amp;P, Moody’s, or Fitch (or, if at any time no two (2) of the foregoing shall be rating such obligations, then from such other nationally recognized rating services acceptable to Administrative Agent); (h) investment grade bonds, other than domestic corporate bonds issued by the Borrower or any of its Affiliates, maturing no more than seven (7) years after the date of acquisition thereof and, at the time of acquisition, having a rating of at least A or the equivalent from any two (2) of S&amp;P, Moody’s, or Fitch (or, if at any time no two (2) of the foregoing shall be rating such obligations, then from such other nationally recognized rating services acceptable to Administrative Agent); and (i) shares of money market, mutual, or similar funds which invest primarily in securities of the type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above.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firstLine="644"/>
        <w:spacing w:after="0" w:line="269" w:lineRule="auto"/>
        <w:tabs>
          <w:tab w:leader="none" w:pos="1733"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date of this Agreement and described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hereto and Liens, if any, granted to secure the Obligations;</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8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governmental authorities for Taxes not yet subject to penalty or which are being contested in good faith and by appropriate proceedings, if adequate reserves with respect thereto are maintained on the books of the Borrower in accordance with GAAP;</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6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statutory liens of carriers, warehousemen, mechanics, materialmen, landlords, repairmen or other like Liens arising by operation of law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underlying obligations are not overdue or (ii) such Liens are being contested in good faith and by appropriate proceedings and adequate reserves with respect thereto are maintained on the books of the Borrower in accordance with GAAP;</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833"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the performance of bids, trade contracts (other than borrowed money), leases, statutory obligations, surety and appeal bonds, performance bonds and other obligations of a like nature incurred in the ordinary course of business;</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0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zoning restrictions, assessment district or similar Liens in connection with municipal financing or community development bonds, and similar restrictions, encumbrances or title defects which, singly or in the aggregate, do not in any case materially detract from the value of the real estate subject thereto (as such real estate is used by any Loan Party) or interfere with the ordinary conduct of the business of the Loan Parties;</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81" w:lineRule="auto"/>
        <w:tabs>
          <w:tab w:leader="none" w:pos="1738"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arising by operation of law in connection with judgments, only to the extent, for an amount and for a period not resulting in an event of default hereunder with respect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execution or enforcement thereof is stayed and the claim is being contested in good faith, with adequate reserves therefor being maintained by the Borrower in accordance with GAAP;</w:t>
      </w:r>
    </w:p>
    <w:p>
      <w:pPr>
        <w:spacing w:after="0" w:line="150" w:lineRule="exact"/>
        <w:rPr>
          <w:rFonts w:ascii="Times New Roman" w:cs="Times New Roman" w:eastAsia="Times New Roman" w:hAnsi="Times New Roman"/>
          <w:sz w:val="19"/>
          <w:szCs w:val="19"/>
          <w:color w:val="auto"/>
        </w:rPr>
      </w:pPr>
    </w:p>
    <w:p>
      <w:pPr>
        <w:ind w:left="660" w:firstLine="644"/>
        <w:spacing w:after="0" w:line="283" w:lineRule="auto"/>
        <w:tabs>
          <w:tab w:leader="none" w:pos="175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made in the ordinary course of business in connection with workers’ compensation, unemployment insurance and other types of social security legislation;</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7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of a Person existing at the time such Person becomes a Loan Party (other than as a result of a Division of a Loan Party or of a Division of a Person in which the Borrower or any Restricted Subsidiary has an Investment in immediately prior to the Division) or is merged with or into a Loan Party and Liens on assets or properties at the time of acquisition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were in existence prior to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13"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20"/>
          <w:szCs w:val="20"/>
          <w:color w:val="auto"/>
        </w:rPr>
        <w:t>such acquisition, merger or consolidation, were not incurred in anticipation thereof and do not extend to any other assets;</w:t>
      </w:r>
    </w:p>
    <w:p>
      <w:pPr>
        <w:spacing w:after="0" w:line="229" w:lineRule="exact"/>
        <w:rPr>
          <w:sz w:val="20"/>
          <w:szCs w:val="20"/>
          <w:color w:val="auto"/>
        </w:rPr>
      </w:pPr>
    </w:p>
    <w:p>
      <w:pPr>
        <w:ind w:left="1680" w:hanging="376"/>
        <w:spacing w:after="0"/>
        <w:tabs>
          <w:tab w:leader="none" w:pos="16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Non-Recourse Indebtedness;</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9" w:lineRule="auto"/>
        <w:tabs>
          <w:tab w:leader="none" w:pos="1867"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obligations of any Loan Party to any third party in connection with (i) Profit and Participation Agreements, (ii) any option or right of first refusal to purchase real property or marketing deed of trust granted to the master developer or the seller of real property that arises as a result of the non-use or non-development of such real property by such Loan Party or relates to the coordinated marketing and promotion by the master developer, or (iii) joint development agreements with third parties to perform and/or pay for or reimburse the costs of construction and/or development related to or benefiting any Loan Party’s property and property belonging to such third parties, in each case entered into in the ordinary course of such Loan Party’s business;</w:t>
      </w:r>
    </w:p>
    <w:p>
      <w:pPr>
        <w:spacing w:after="0" w:line="177" w:lineRule="exact"/>
        <w:rPr>
          <w:rFonts w:ascii="Times New Roman" w:cs="Times New Roman" w:eastAsia="Times New Roman" w:hAnsi="Times New Roman"/>
          <w:sz w:val="19"/>
          <w:szCs w:val="19"/>
          <w:color w:val="auto"/>
        </w:rPr>
      </w:pPr>
    </w:p>
    <w:p>
      <w:pPr>
        <w:jc w:val="both"/>
        <w:ind w:left="660" w:firstLine="644"/>
        <w:spacing w:after="0" w:line="258" w:lineRule="auto"/>
        <w:tabs>
          <w:tab w:leader="none" w:pos="184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incurred to refinance any Indebtedness that was previously so secured by a Lien and permitted hereunder (which refinancing Indebtedness may exceed the amount refinanced;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refinancing Indebtedness is otherwise permitted under this Agreement) upon terms and conditions substantially similar to the terms of the Lien securing such refinanced Indebtedness immediately prior to it having been so refinanced;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pursuant to vexatious, frivolous or meritless claims, suits, actions or filings, or other similar bad faith actions, taken by a Person not an Affiliate of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Loan Party is disputing such Lien in good faith and by appropriate proceedings;</w:t>
      </w:r>
    </w:p>
    <w:p>
      <w:pPr>
        <w:spacing w:after="0" w:line="181" w:lineRule="exact"/>
        <w:rPr>
          <w:rFonts w:ascii="Times New Roman" w:cs="Times New Roman" w:eastAsia="Times New Roman" w:hAnsi="Times New Roman"/>
          <w:sz w:val="20"/>
          <w:szCs w:val="20"/>
          <w:color w:val="auto"/>
        </w:rPr>
      </w:pPr>
    </w:p>
    <w:p>
      <w:pPr>
        <w:ind w:left="1820" w:hanging="516"/>
        <w:spacing w:after="0"/>
        <w:tabs>
          <w:tab w:leader="none" w:pos="18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Hedging Obligations arising in the ordinary course of business of a Loan Party and not for speculative</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purposes;</w:t>
      </w:r>
    </w:p>
    <w:p>
      <w:pPr>
        <w:spacing w:after="0" w:line="20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obligations of a Loan Party arising in connection with letters of credit and/or letter of credit facilities;</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leases of Model Units;</w:t>
      </w:r>
    </w:p>
    <w:p>
      <w:pPr>
        <w:spacing w:after="0" w:line="215" w:lineRule="exact"/>
        <w:rPr>
          <w:rFonts w:ascii="Times New Roman" w:cs="Times New Roman" w:eastAsia="Times New Roman" w:hAnsi="Times New Roman"/>
          <w:sz w:val="20"/>
          <w:szCs w:val="20"/>
          <w:color w:val="auto"/>
        </w:rPr>
      </w:pPr>
    </w:p>
    <w:p>
      <w:pPr>
        <w:ind w:left="660" w:firstLine="644"/>
        <w:spacing w:after="0" w:line="283" w:lineRule="auto"/>
        <w:tabs>
          <w:tab w:leader="none" w:pos="190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purchase money security interests (including purchase money mortgages) and Capitalized Lease Obligations entered into in the ordinary course of business;</w:t>
      </w:r>
    </w:p>
    <w:p>
      <w:pPr>
        <w:spacing w:after="0" w:line="14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Indebtedness or obligations in an amount not in excess of $20,000,000 in the aggregate; and</w:t>
      </w:r>
    </w:p>
    <w:p>
      <w:pPr>
        <w:spacing w:after="0" w:line="229" w:lineRule="exact"/>
        <w:rPr>
          <w:rFonts w:ascii="Times New Roman" w:cs="Times New Roman" w:eastAsia="Times New Roman" w:hAnsi="Times New Roman"/>
          <w:sz w:val="20"/>
          <w:szCs w:val="20"/>
          <w:color w:val="auto"/>
        </w:rPr>
      </w:pPr>
    </w:p>
    <w:p>
      <w:pPr>
        <w:ind w:left="660" w:firstLine="644"/>
        <w:spacing w:after="0" w:line="283" w:lineRule="auto"/>
        <w:tabs>
          <w:tab w:leader="none" w:pos="17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property or assets of any Restricted Subsidiary that is a Loan Party securing Indebtedness of such Restricted Subsidiary owing to the Borrower or one or more Loan Parties.</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any natural person, corporation, limited liability company, trust, joint venture, association, company, partnership, governmental authority or other entity.</w:t>
      </w:r>
    </w:p>
    <w:p>
      <w:pPr>
        <w:spacing w:after="0" w:line="14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 “employee benefit plan” as defined in Section 3(3) of ERISA, other than a multiemployer plan (as defined in Section 3(37) of ERISA), that is subject to Title IV of ERISA or Section 412 of the Code in respect of which any Loan Party or any ERISA Affiliate is, or was at any time during the immediately preceding five plan years, an “employer” as defined in Section 3(5)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58" w:name="page59"/>
    <w:bookmarkEnd w:id="58"/>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Regulations</w:t>
      </w:r>
      <w:r>
        <w:rPr>
          <w:rFonts w:ascii="Times New Roman" w:cs="Times New Roman" w:eastAsia="Times New Roman" w:hAnsi="Times New Roman"/>
          <w:sz w:val="20"/>
          <w:szCs w:val="20"/>
          <w:color w:val="auto"/>
        </w:rPr>
        <w:t xml:space="preserve">”: 29 CFR § 2510.3-101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modified by Section 3(42) of ERISA, as amended from time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20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92"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any claim, litigation, investigation, action, suit, arbitration or administrative, judicial or regulatory action or proceeding in any jurisdiction.</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Profit and Participation Agreement</w:t>
      </w:r>
      <w:r>
        <w:rPr>
          <w:rFonts w:ascii="Times New Roman" w:cs="Times New Roman" w:eastAsia="Times New Roman" w:hAnsi="Times New Roman"/>
          <w:sz w:val="20"/>
          <w:szCs w:val="20"/>
          <w:color w:val="auto"/>
        </w:rPr>
        <w:t>”: an agreement, secured by a deed of trust, mortgage or other Lien against a property or asset, with respect to which the purchaser of such property or asset agrees to pay the seller of such property or asset a profit, price, premium participation or other similar amount in respect of such property or asset.</w:t>
      </w:r>
    </w:p>
    <w:p>
      <w:pPr>
        <w:spacing w:after="0" w:line="181"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prohibited transaction class exemption issued by the U.S. Department of Labor, as any such exemption may be amended from time to time.</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2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Real Property Inventory</w:t>
      </w:r>
      <w:r>
        <w:rPr>
          <w:rFonts w:ascii="Times New Roman" w:cs="Times New Roman" w:eastAsia="Times New Roman" w:hAnsi="Times New Roman"/>
          <w:sz w:val="20"/>
          <w:szCs w:val="20"/>
          <w:color w:val="auto"/>
        </w:rPr>
        <w:t xml:space="preserve">”: as of any date, Real Property Inventory that is not subject to or encumbered by any deed of trust, mortgage, judgment Lien, or any other Lien (other than the Permitted Liens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of the definition of “Permitted Liens”) and other Liens which have been bonded around so as to remove such Liens as encumbrances against such Real Property Inventory in a matter satisfactory to the Administrative Agent and its legal counsel).</w:t>
      </w:r>
    </w:p>
    <w:p>
      <w:pPr>
        <w:spacing w:after="0" w:line="17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Property Inventory</w:t>
      </w:r>
      <w:r>
        <w:rPr>
          <w:rFonts w:ascii="Times New Roman" w:cs="Times New Roman" w:eastAsia="Times New Roman" w:hAnsi="Times New Roman"/>
          <w:sz w:val="20"/>
          <w:szCs w:val="20"/>
          <w:color w:val="auto"/>
        </w:rPr>
        <w:t>”: as of any date, land that is owned by any Loan Party, which land is being developed or held for future development or sale, together with the right, title and interest of such Loan Party in and to the streets, the land lying in the bed of any streets, roads or avenues, open or proposed, in or of, the air space and development rights pertaining thereto and the right to use such air space and development rights, all rights of way, privileges, liberties, tenements, hereditaments and appurtenances belonging in or in any way appertaining thereto, all fixtures, all easements now or hereafter benefiting such land and all royalties and rights appertaining to the use and enjoyment of such land necessary for the residential development of such land, together with all of the buildings and other improvements now or hereafter erected on such land, and any fixtures appurtenant thereto and all related personal property.</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Recent Balance Sheet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(a) the Administrative Agent, (b) any Lender and (c) any Issuing Lender,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09" w:right="339" w:bottom="1440" w:gutter="0" w:footer="0" w:header="0"/>
        </w:sectPr>
      </w:pPr>
    </w:p>
    <w:bookmarkStart w:id="59" w:name="page60"/>
    <w:bookmarkEnd w:id="59"/>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xml:space="preserve">” with respect to any setting of the then-current Benchmark means (1) if such Benchmark is the Term SOFR Rate, 5:00 a.m. (Chicago time) on the day that is two U.S. Government Securities Business Days preceding the date of such setting, (2) if the Benchmark is the Daily Simple SOFR (solely if applicable after the effectiveness of a Benchmark 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then four U.S. Government Securities Business Days prior to such setting, and (3) if such Benchmark is not the Term SOFR Rate or the Daily Simple SOFR, the time determined by the Administrative Agent in its reasonable discretion.</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10.6(b)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Regulations U and X</w:t>
      </w:r>
      <w:r>
        <w:rPr>
          <w:rFonts w:ascii="Times New Roman" w:cs="Times New Roman" w:eastAsia="Times New Roman" w:hAnsi="Times New Roman"/>
          <w:sz w:val="20"/>
          <w:szCs w:val="20"/>
          <w:color w:val="auto"/>
        </w:rPr>
        <w:t>”: Regulations U and X of the Board as in effect from time to time.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Authority</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10.15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Reimbursement Obligation</w:t>
      </w:r>
      <w:r>
        <w:rPr>
          <w:rFonts w:ascii="Times New Roman" w:cs="Times New Roman" w:eastAsia="Times New Roman" w:hAnsi="Times New Roman"/>
          <w:sz w:val="20"/>
          <w:szCs w:val="20"/>
          <w:color w:val="auto"/>
        </w:rPr>
        <w:t xml:space="preserve">”: the obligation of the Borrower to reimburse the Issuing Lender pursuant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for amounts drawn under Letters of Credit.</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with respect to any specified Person, such Person’s Affiliates and the respective directors, officers, employees, agents and advisors of such Person and such Person’s Affiliates.</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the Federal Reserve Board and/or the NYFRB, or a committee officially endorsed or convened by the Federal Reserve Board and/or the NYFRB or, in each case, any successor thereto.</w:t>
      </w:r>
    </w:p>
    <w:p>
      <w:pPr>
        <w:spacing w:after="0" w:line="14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xml:space="preserve">”: (i) with respect to any Term Benchmark Loan,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Rate or (ii) with respect to any RFR Loan (solely if applicable after the effectiveness of a Benchmark 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Daily Simple SOFR, as applicable.</w:t>
      </w:r>
    </w:p>
    <w:p>
      <w:pPr>
        <w:spacing w:after="0" w:line="16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xml:space="preserve">”: a reportable event as defined in Section 4043 of ERISA, with respect to a Plan, excluding, however, such events as to which the PBGC by regulation waived the requirement of Section 4043(a) of ERISA that it be notified within 30 days of the occurrence of such event;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that a failure to meet the minimum funding standard of Section 412 of the Code and of Section 302 of ERISA shall be a Reportable Event regardless of the issuance of any such waiver of the notice requirement in accordance with either Section 4043(a) of ERISA or Section 412(d) of the Code.</w:t>
      </w:r>
    </w:p>
    <w:p>
      <w:pPr>
        <w:spacing w:after="0" w:line="19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2.20(a)(i)</w:t>
      </w:r>
      <w:r>
        <w:rPr>
          <w:rFonts w:ascii="Times New Roman" w:cs="Times New Roman" w:eastAsia="Times New Roman" w:hAnsi="Times New Roman"/>
          <w:sz w:val="20"/>
          <w:szCs w:val="20"/>
          <w:color w:val="auto"/>
        </w:rPr>
        <w:t>, at any time, the holders of more than fifty percent (50%) of the Total Commitments then in effect or, if the Commitments have been terminated, the Outstanding Amount at such time.</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Liquidity</w:t>
      </w:r>
      <w:r>
        <w:rPr>
          <w:rFonts w:ascii="Times New Roman" w:cs="Times New Roman" w:eastAsia="Times New Roman" w:hAnsi="Times New Roman"/>
          <w:sz w:val="20"/>
          <w:szCs w:val="20"/>
          <w:color w:val="auto"/>
        </w:rPr>
        <w:t>”: $10,000,000.</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an EEA Resolution Authority or, with respect to any UK Financial Institution, a UK Resolution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60" w:name="page61"/>
    <w:bookmarkEnd w:id="60"/>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as to the Borrower or any of its Subsidiaries, the president, chief financial officer, principal accounting officer, treasurer, controller or other executive officer.</w:t>
      </w:r>
    </w:p>
    <w:p>
      <w:pPr>
        <w:spacing w:after="0" w:line="14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with respect to any Person, any dividend (other than dividends payable solely in common stock of the Person making such dividend) on, or any payment on account of, including any sinking or other analogous fund for, the purchase, redemption, defeasance, retirement or other acquisition of, any Capital Stock of any Person or any of its Subsidiaries, or any other distribution in respect thereof, either directly or indirectly, whether in cash or property or in obligations of such Person or any of its Subsidiaries.</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Subsidiaries</w:t>
      </w:r>
      <w:r>
        <w:rPr>
          <w:rFonts w:ascii="Times New Roman" w:cs="Times New Roman" w:eastAsia="Times New Roman" w:hAnsi="Times New Roman"/>
          <w:sz w:val="20"/>
          <w:szCs w:val="20"/>
          <w:color w:val="auto"/>
        </w:rPr>
        <w:t>”: as of any date, the Subsidiaries of the Borrower and any other Loan Party which are not Unrestricted Subsidiaries.</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Revolver Availability</w:t>
      </w:r>
      <w:r>
        <w:rPr>
          <w:rFonts w:ascii="Times New Roman" w:cs="Times New Roman" w:eastAsia="Times New Roman" w:hAnsi="Times New Roman"/>
          <w:sz w:val="20"/>
          <w:szCs w:val="20"/>
          <w:color w:val="auto"/>
        </w:rPr>
        <w:t xml:space="preserve">”: as of any date, the lesser of (a) Borrowing Base Availability,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Outstanding Amount and (b) Commitments,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Outstanding Amount.</w:t>
      </w:r>
    </w:p>
    <w:p>
      <w:pPr>
        <w:spacing w:after="0" w:line="16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Borrowing</w:t>
      </w:r>
      <w:r>
        <w:rPr>
          <w:rFonts w:ascii="Times New Roman" w:cs="Times New Roman" w:eastAsia="Times New Roman" w:hAnsi="Times New Roman"/>
          <w:sz w:val="20"/>
          <w:szCs w:val="20"/>
          <w:color w:val="auto"/>
        </w:rPr>
        <w:t>”: Revolving Loans of the same Type, made, converted or continued on the same date and, in the case of Term Benchmark Loans, as to which a single Interest Period is in effect.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Loan</w:t>
      </w:r>
      <w:r>
        <w:rPr>
          <w:rFonts w:ascii="Times New Roman" w:cs="Times New Roman" w:eastAsia="Times New Roman" w:hAnsi="Times New Roman"/>
          <w:sz w:val="20"/>
          <w:szCs w:val="20"/>
          <w:color w:val="auto"/>
        </w:rPr>
        <w:t xml:space="preserve">”: a Loan that bears interest on a one-month interest period at a rate based on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Daily Simple SOFR (solely if applicable after the effectiveness of a Benchmark 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Standard &amp; Poor’s Rating Services, a Standard &amp; Poor’s Financial Services LLC business.</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at any time, a country, region or territory which is itself the subject or target of any Sanctions (at the time of this Agreement, the so-called Donetsk People’s Republic, the so-called Luhansk People’s Republic, the Crimea Region of Ukraine, Cuba, Iran, North Korea and Syria).</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xml:space="preserve">”: at any time, (a) any Person listed in any Sanctions-related list of designated Persons maintained by the Office of Foreign Assets Control of the U.S. Department of the Treasury, the U.S. Department of State, (b) any Person operating, organized or resident in a Sanctioned Country, (c) any Person owned or controlled by any such Person or Persons described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or (d) any Person otherwise the subject of any Sanctions.</w:t>
      </w:r>
    </w:p>
    <w:p>
      <w:pPr>
        <w:spacing w:after="0" w:line="17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all economic or financial sanctions or trade embargoes imposed, administered or enforced from time to time by the U.S. government, including those administered by the Office of Foreign Assets Control of the U.S. Department of the Treasury or the U.S. Department of State or other relevant sanctions authority.</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the Securities and Exchange Commission, any successor thereto and any analogous Governmental Authority.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6.1(e)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13" w:right="339" w:bottom="1440" w:gutter="0" w:footer="0" w:header="0"/>
        </w:sectPr>
      </w:pPr>
    </w:p>
    <w:bookmarkStart w:id="61" w:name="page62"/>
    <w:bookmarkEnd w:id="61"/>
    <w:p>
      <w:pPr>
        <w:jc w:val="both"/>
        <w:ind w:firstLine="1296"/>
        <w:spacing w:after="0" w:line="261" w:lineRule="auto"/>
        <w:rPr>
          <w:sz w:val="20"/>
          <w:szCs w:val="20"/>
          <w:color w:val="auto"/>
        </w:rPr>
      </w:pPr>
      <w:r>
        <w:rPr>
          <w:rFonts w:ascii="Times New Roman" w:cs="Times New Roman" w:eastAsia="Times New Roman" w:hAnsi="Times New Roman"/>
          <w:sz w:val="20"/>
          <w:szCs w:val="20"/>
          <w:u w:val="single" w:color="auto"/>
          <w:color w:val="0000FF"/>
        </w:rPr>
        <w:t>“Senior Notes”: the $350,000,000 in aggregate principal amount of Borrower’s 7.250% senior notes due 2029, issued pursuant to the Senior Notes Indenture (as may be reduced by any prepayment, redemption or retirement thereof), together with any indebtedness that extends, refinances or replaces such senior notes.</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u w:val="single" w:color="auto"/>
          <w:color w:val="0000FF"/>
        </w:rPr>
        <w:t>“Senior Notes Indenture”: that certain indenture for the Senior Notes, dated as of September 24, 2019, among the Borrower, as issuer, the Subsidiary Guarantors (under and as defined therein) party thereto and U.S. Bank National Association, as trustee (or any successor thereto in such capacity).</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a rate equal to the secured overnight financing rate as administered by the SOFR Administrator.</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the NYFRB (or a successor administrator of the secured overnight financing rate).</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the NYFRB’s website, currently at http://www.newyorkfed.org, or any successor source for the secured overnight financing rate identified as such by the SOFR Administrator from time to time.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Determination Date</w:t>
      </w:r>
      <w:r>
        <w:rPr>
          <w:rFonts w:ascii="Times New Roman" w:cs="Times New Roman" w:eastAsia="Times New Roman" w:hAnsi="Times New Roman"/>
          <w:sz w:val="20"/>
          <w:szCs w:val="20"/>
          <w:color w:val="auto"/>
        </w:rPr>
        <w:t>”: has the meaning specified in the definition of “Daily Simple SOFR”.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has the meaning specified in the definition of “Daily Simple SOFR”.</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xml:space="preserve">”: a solvency certificate by the chief financial officer or treasurer of the Borrower in the form attached hereto as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when used with respect to any Person, means that, as of any date of determination, (a) the aggregate fair market value of such Person’s assets exceeds its liabilities (whether contingent, subordinated, unmatured, unliquidated, or otherwise), (b) such person has not incurred debts beyond such Person’s ability to pay such debts as they mature (taking into account all reasonably anticipated financing and refinancing proceeds), and (c) such Person does not have unreasonably small capital to conduct such Person’s businesses. In computing the amount of contingent or unliquidated liabilities at any time, such liabilities will be computed as the amount which, in light of all the facts and circumstances existing at such time, represent the amount that can be reasonably be expected to become an actual or matured liability discounted to present value at rates believed to be reasonable by such Person.</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Speculative Unit</w:t>
      </w:r>
      <w:r>
        <w:rPr>
          <w:rFonts w:ascii="Times New Roman" w:cs="Times New Roman" w:eastAsia="Times New Roman" w:hAnsi="Times New Roman"/>
          <w:sz w:val="20"/>
          <w:szCs w:val="20"/>
          <w:color w:val="auto"/>
        </w:rPr>
        <w:t>”: any Completed Unit that is not a Unit Under Contract.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Debt</w:t>
      </w:r>
      <w:r>
        <w:rPr>
          <w:rFonts w:ascii="Times New Roman" w:cs="Times New Roman" w:eastAsia="Times New Roman" w:hAnsi="Times New Roman"/>
          <w:sz w:val="20"/>
          <w:szCs w:val="20"/>
          <w:color w:val="auto"/>
        </w:rPr>
        <w:t>”: any Indebtedness of the Borrower or any other Loan Party which is subordinated to the Obligations at all times (including in respect of any amendment or modification thereto) pursuant to terms reasonably satisfactory to the Administrative Agent.</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as to any Person, (a) any corporation, limited liability company, association or other business entity (other than a partnership), of which more than fifty percent (50%) of the total voting power of the equity interests entitled (without regard to the occurrence of any contingency) to vote in the election of the board of directors or other governing body thereof are at the time owned or controlled, directly or indirectly, by such Person or one or more of the other Subsidiaries of that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62" w:name="page63"/>
    <w:bookmarkEnd w:id="62"/>
    <w:p>
      <w:pPr>
        <w:jc w:val="both"/>
        <w:spacing w:after="0" w:line="261" w:lineRule="auto"/>
        <w:rPr>
          <w:sz w:val="20"/>
          <w:szCs w:val="20"/>
          <w:color w:val="auto"/>
        </w:rPr>
      </w:pPr>
      <w:r>
        <w:rPr>
          <w:rFonts w:ascii="Times New Roman" w:cs="Times New Roman" w:eastAsia="Times New Roman" w:hAnsi="Times New Roman"/>
          <w:sz w:val="20"/>
          <w:szCs w:val="20"/>
          <w:color w:val="auto"/>
        </w:rPr>
        <w:t>(or a combination thereof) and (b) any partnership (i) the sole general partner or the managing general partner of which is such Person or a Subsidiary of such Person or (ii) the only general partners of which are such Person or one or more Subsidiaries of such Person (or any combination hereof).</w:t>
      </w:r>
    </w:p>
    <w:p>
      <w:pPr>
        <w:spacing w:after="0" w:line="3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Syndication Agents</w:t>
      </w:r>
      <w:r>
        <w:rPr>
          <w:rFonts w:ascii="Times New Roman" w:cs="Times New Roman" w:eastAsia="Times New Roman" w:hAnsi="Times New Roman"/>
          <w:sz w:val="20"/>
          <w:szCs w:val="20"/>
          <w:color w:val="auto"/>
        </w:rPr>
        <w:t xml:space="preserve">”: collectively, </w:t>
      </w:r>
      <w:r>
        <w:rPr>
          <w:rFonts w:ascii="Times New Roman" w:cs="Times New Roman" w:eastAsia="Times New Roman" w:hAnsi="Times New Roman"/>
          <w:sz w:val="20"/>
          <w:szCs w:val="20"/>
          <w:color w:val="FF0000"/>
          <w:strike w:val="1"/>
        </w:rPr>
        <w:t>Regions Bank and</w:t>
      </w:r>
      <w:r>
        <w:rPr>
          <w:rFonts w:ascii="Times New Roman" w:cs="Times New Roman" w:eastAsia="Times New Roman" w:hAnsi="Times New Roman"/>
          <w:sz w:val="20"/>
          <w:szCs w:val="20"/>
          <w:color w:val="auto"/>
        </w:rPr>
        <w:t xml:space="preserve"> Royal Bank of Canada</w:t>
      </w:r>
      <w:r>
        <w:rPr>
          <w:rFonts w:ascii="Times New Roman" w:cs="Times New Roman" w:eastAsia="Times New Roman" w:hAnsi="Times New Roman"/>
          <w:sz w:val="20"/>
          <w:szCs w:val="20"/>
          <w:u w:val="single" w:color="auto"/>
          <w:color w:val="0000FF"/>
        </w:rPr>
        <w:t>, Truist Bank and Regions Bank</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xml:space="preserve">”: when used in reference to any Loan or Borrowing, refers to whether such Loan, or the Loans comprising such Borrowing, are bearing interest at a rate determined by reference to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Rate.</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xml:space="preserve">”: March </w:t>
      </w:r>
      <w:r>
        <w:rPr>
          <w:rFonts w:ascii="Times New Roman" w:cs="Times New Roman" w:eastAsia="Times New Roman" w:hAnsi="Times New Roman"/>
          <w:sz w:val="20"/>
          <w:szCs w:val="20"/>
          <w:color w:val="FF0000"/>
          <w:strike w:val="1"/>
        </w:rPr>
        <w:t>15, 2028</w:t>
      </w:r>
      <w:r>
        <w:rPr>
          <w:rFonts w:ascii="Times New Roman" w:cs="Times New Roman" w:eastAsia="Times New Roman" w:hAnsi="Times New Roman"/>
          <w:sz w:val="20"/>
          <w:szCs w:val="20"/>
          <w:u w:val="single" w:color="auto"/>
          <w:color w:val="0000FF"/>
        </w:rPr>
        <w:t>13, 2030 (the “Initial Termination Date”)</w:t>
      </w:r>
      <w:r>
        <w:rPr>
          <w:rFonts w:ascii="Times New Roman" w:cs="Times New Roman" w:eastAsia="Times New Roman" w:hAnsi="Times New Roman"/>
          <w:sz w:val="20"/>
          <w:szCs w:val="20"/>
          <w:color w:val="auto"/>
        </w:rPr>
        <w:t>, subject</w:t>
      </w:r>
      <w:r>
        <w:rPr>
          <w:rFonts w:ascii="Times New Roman" w:cs="Times New Roman" w:eastAsia="Times New Roman" w:hAnsi="Times New Roman"/>
          <w:sz w:val="20"/>
          <w:szCs w:val="20"/>
          <w:color w:val="FF0000"/>
          <w:strike w:val="1"/>
        </w:rPr>
        <w:t>, however,</w:t>
      </w:r>
      <w:r>
        <w:rPr>
          <w:rFonts w:ascii="Times New Roman" w:cs="Times New Roman" w:eastAsia="Times New Roman" w:hAnsi="Times New Roman"/>
          <w:sz w:val="20"/>
          <w:szCs w:val="20"/>
          <w:color w:val="auto"/>
        </w:rPr>
        <w:t xml:space="preserve"> to earlier termination of the Total Commitment pursuant of the terms of this Agreement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rPr>
        <w:t>; provided that the Termination Date will instead be July 16, 2029 (the “Springing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Maturity Date”) if as of the Springing Maturity Date an aggregate principal amount of Senior Notes greater than or equal to $100,000,000 remains outstanding with (x) a maturity date that is earlier than 91 days after the Initial Termination Date or (y) terms requiring mandatory commitment reductions, scheduled amortization or other mandatory principal payments, in each case, prior to the date that is 91 days after the Initial Termination Date.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has the meaning assigned to it under the definition of “Term SOFR Reference Rate”.</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Rate</w:t>
      </w:r>
      <w:r>
        <w:rPr>
          <w:rFonts w:ascii="Times New Roman" w:cs="Times New Roman" w:eastAsia="Times New Roman" w:hAnsi="Times New Roman"/>
          <w:sz w:val="20"/>
          <w:szCs w:val="20"/>
          <w:color w:val="auto"/>
        </w:rPr>
        <w:t>”: with respect to any Term Benchmark Loan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r>
        <w:rPr>
          <w:rFonts w:ascii="Times New Roman" w:cs="Times New Roman" w:eastAsia="Times New Roman" w:hAnsi="Times New Roman"/>
          <w:sz w:val="20"/>
          <w:szCs w:val="20"/>
          <w:u w:val="single" w:color="auto"/>
          <w:color w:val="0000FF"/>
        </w:rPr>
        <w:t>; provided, that if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8000"/>
        </w:rPr>
        <w:t>Term SOFR Rate as so determined would be less than the Floor, such rate shall be deemed to be equal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8000"/>
        </w:rPr>
        <w:t>the Floor for the purposes of this Agreement</w:t>
      </w:r>
      <w:r>
        <w:rPr>
          <w:rFonts w:ascii="Times New Roman" w:cs="Times New Roman" w:eastAsia="Times New Roman" w:hAnsi="Times New Roman"/>
          <w:sz w:val="20"/>
          <w:szCs w:val="20"/>
          <w:color w:val="000000"/>
        </w:rPr>
        <w:t>.</w:t>
      </w:r>
    </w:p>
    <w:p>
      <w:pPr>
        <w:spacing w:after="0" w:line="19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for any day and time (such day, the “</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with respect to any Term Benchmark Loan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63" w:name="page64"/>
    <w:bookmarkEnd w:id="63"/>
    <w:p>
      <w:pPr>
        <w:ind w:left="1300"/>
        <w:spacing w:after="0"/>
        <w:rPr>
          <w:sz w:val="20"/>
          <w:szCs w:val="20"/>
          <w:color w:val="auto"/>
        </w:rPr>
      </w:pPr>
      <w:r>
        <w:rPr>
          <w:rFonts w:ascii="Times New Roman" w:cs="Times New Roman" w:eastAsia="Times New Roman" w:hAnsi="Times New Roman"/>
          <w:sz w:val="20"/>
          <w:szCs w:val="20"/>
          <w:u w:val="single" w:color="auto"/>
          <w:color w:val="0000FF"/>
        </w:rPr>
        <w:t>“Third Amendment”: that certain Third Amendment to this Agreement, dated as of March 13, 2026.</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0000FF"/>
        </w:rPr>
        <w:t>“Third Amendment Effective Date”: has the meaning assigned to it in the Third Amendment.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Commitments</w:t>
      </w:r>
      <w:r>
        <w:rPr>
          <w:rFonts w:ascii="Times New Roman" w:cs="Times New Roman" w:eastAsia="Times New Roman" w:hAnsi="Times New Roman"/>
          <w:sz w:val="20"/>
          <w:szCs w:val="20"/>
          <w:color w:val="auto"/>
        </w:rPr>
        <w:t>”: at any time, the aggregate amount of the Commitments then in effect.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Tranches</w:t>
      </w:r>
      <w:r>
        <w:rPr>
          <w:rFonts w:ascii="Times New Roman" w:cs="Times New Roman" w:eastAsia="Times New Roman" w:hAnsi="Times New Roman"/>
          <w:sz w:val="20"/>
          <w:szCs w:val="20"/>
          <w:color w:val="auto"/>
        </w:rPr>
        <w:t xml:space="preserve">”: the collective reference to Term Benchmark Loans for the then current Interest Periods and RFR Loans (solely if applicable after the effectiveness of a Benchmark 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with respect to all of which begin on the same date and end on the same later date.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any Assignee or Participant.</w:t>
      </w:r>
    </w:p>
    <w:p>
      <w:pPr>
        <w:spacing w:after="0" w:line="216"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xml:space="preserve">”: as to any Loan, its nature as an ABR Loan, a Term Benchmark Loan or (solely if applicable after the effectiveness of a Benchmark 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 RFR Loan.</w:t>
      </w:r>
    </w:p>
    <w:p>
      <w:pPr>
        <w:spacing w:after="0" w:line="14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the Bank of England or any other public administrative authority having responsibility for the resolution of any UK Financial Institution.</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the applicable Benchmark Replacement excluding the related Benchmark Replacement Adjustment.</w:t>
      </w:r>
    </w:p>
    <w:p>
      <w:pPr>
        <w:spacing w:after="0" w:line="14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Unfunded Pension Liability</w:t>
      </w:r>
      <w:r>
        <w:rPr>
          <w:rFonts w:ascii="Times New Roman" w:cs="Times New Roman" w:eastAsia="Times New Roman" w:hAnsi="Times New Roman"/>
          <w:sz w:val="20"/>
          <w:szCs w:val="20"/>
          <w:color w:val="auto"/>
        </w:rPr>
        <w:t>”: the excess of a Plan’s benefit liabilities under Section 4001(a)(16) of ERISA, over the current value of that Plan’s assets, determined in accordance with the assumptions used for funding the Plan pursuant to Section 412 of the Code for the applicable plan year.</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Uniform Commercial Code</w:t>
      </w:r>
      <w:r>
        <w:rPr>
          <w:rFonts w:ascii="Times New Roman" w:cs="Times New Roman" w:eastAsia="Times New Roman" w:hAnsi="Times New Roman"/>
          <w:sz w:val="20"/>
          <w:szCs w:val="20"/>
          <w:color w:val="auto"/>
        </w:rPr>
        <w:t xml:space="preserve">”: the Uniform Commercial Code, as the same may, from time to time, be in effect in the State of New York;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that, by reason of mandatory provisions of law, any or all of the perfection or priority of the security interest in any collateral provided pursuant to this Agreement is governed by the Uniform Commercial Code as in effect in a jurisdiction other than the State of New York, the term “Uniform Commercial Code” shall mean the Uniform Commercial Code as in effect in such other jurisdiction for purposes of the provisions hereof relating to such perfection or priority (but not attachment) and for purposes of definitions related to such provisions.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w:t>
      </w:r>
      <w:r>
        <w:rPr>
          <w:rFonts w:ascii="Times New Roman" w:cs="Times New Roman" w:eastAsia="Times New Roman" w:hAnsi="Times New Roman"/>
          <w:sz w:val="20"/>
          <w:szCs w:val="20"/>
          <w:color w:val="auto"/>
        </w:rPr>
        <w:t>”: Qualified Real Property Inventory that is, or is planned to be, comprised of a single family residential housing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3" w:right="339" w:bottom="1440" w:gutter="0" w:footer="0" w:header="0"/>
        </w:sectPr>
      </w:pPr>
    </w:p>
    <w:bookmarkStart w:id="64" w:name="page65"/>
    <w:bookmarkEnd w:id="64"/>
    <w:p>
      <w:pPr>
        <w:jc w:val="both"/>
        <w:ind w:firstLine="12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Unit Under Contract</w:t>
      </w:r>
      <w:r>
        <w:rPr>
          <w:rFonts w:ascii="Times New Roman" w:cs="Times New Roman" w:eastAsia="Times New Roman" w:hAnsi="Times New Roman"/>
          <w:sz w:val="19"/>
          <w:szCs w:val="19"/>
          <w:color w:val="auto"/>
        </w:rPr>
        <w:t>”: a Unit, whether completed or under construction, as to which the Borrower or Guarantor owning such Unit has entered into a bona fide contract of sale (a) in a form customarily employed by the Borrower or such Guarantor, (b) not more than twelve (12) months after the date of such contract, (c) with a Person who is not a Subsidiary or Affiliate, (d) under which no defaults then exist and (e) in the case of any Unit the purchase of which is to be financed in whole or in part by a loan insured by the Federal Housing Administration or guaranteed by the Veterans Administration, to the Borrower’s or applicable Guarantor’s knowledge, the applicable buyer shall have made, or will be required to make, the minimum down payment required (if any) under the rules of the relevant agency.</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the United States of America.</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Units Under Construction</w:t>
      </w:r>
      <w:r>
        <w:rPr>
          <w:rFonts w:ascii="Times New Roman" w:cs="Times New Roman" w:eastAsia="Times New Roman" w:hAnsi="Times New Roman"/>
          <w:sz w:val="20"/>
          <w:szCs w:val="20"/>
          <w:color w:val="auto"/>
        </w:rPr>
        <w:t>”: Units where on-site construction has commenced as evidenced by the trenching of foundations for such Units, other than Units Under Contract.</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Cash</w:t>
      </w:r>
      <w:r>
        <w:rPr>
          <w:rFonts w:ascii="Times New Roman" w:cs="Times New Roman" w:eastAsia="Times New Roman" w:hAnsi="Times New Roman"/>
          <w:sz w:val="20"/>
          <w:szCs w:val="20"/>
          <w:color w:val="auto"/>
        </w:rPr>
        <w:t>”: cash and Cash Equivalents of the Loan Parties that are free and clear of all Liens and not subject to any restrictions on the use thereof to pay Indebtedness and other obligations of the applicable Loan Party.</w:t>
      </w:r>
    </w:p>
    <w:p>
      <w:pPr>
        <w:spacing w:after="0" w:line="16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(a) (i) Beazer Employees Disaster Assistance Corp., a Georgia corporation, (ii) Gatherings, LLC, a Delaware limited liability company, (iii) Beazer Homes Capital Trust I and (iv) the Charity Subsidiaries and (b) each of the Subsidiaries of the Borrower (including any newly formed or acquired Subsidiary) so designated by a resolution adopted by the board of directors of the Borrower as provided below and provided that:</w:t>
      </w:r>
    </w:p>
    <w:p>
      <w:pPr>
        <w:spacing w:after="0" w:line="187" w:lineRule="exact"/>
        <w:rPr>
          <w:sz w:val="20"/>
          <w:szCs w:val="20"/>
          <w:color w:val="auto"/>
        </w:rPr>
      </w:pPr>
    </w:p>
    <w:p>
      <w:pPr>
        <w:jc w:val="both"/>
        <w:ind w:firstLine="1304"/>
        <w:spacing w:after="0" w:line="261" w:lineRule="auto"/>
        <w:tabs>
          <w:tab w:leader="none" w:pos="1767"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Borrower nor any of its other Restricted Subsidiaries (1) provides any direct or indirect credit support for any Indebtedness of such Subsidiary (including any undertaking, agreement or instrument evidencing such Indebtedness) or (2) is directly or indirectly liable for any Indebtedness of such Subsidiary;</w:t>
      </w:r>
    </w:p>
    <w:p>
      <w:pPr>
        <w:spacing w:after="0" w:line="181"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3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creditors with respect to Indebtedness for borrowed money of such Subsidiary have agreed in writing that they have no recourse, direct or indirect, to the Borrower or any other Restricted Subsidiary of the Borrower (other than the Capital Stock of Unrestricted Subsidiaries), including, without limitation, recourse with respect to the payment of principal or interest on any Indebtedness of such Subsidiary; and</w:t>
      </w:r>
    </w:p>
    <w:p>
      <w:pPr>
        <w:spacing w:after="0" w:line="187"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2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with respect to any Indebtedness of such Subsidiary (including any right which the holders thereof may have to take enforcement action against such Subsidiary) would permit (upon notice, lapse of time or both) any holder of any other Indebtedness of the Borrower and of its other Restricted Subsidiaries, to declare a default on such other Indebtedness or cause the payment thereof to be accelerated or payable prior to its stated maturity.</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The board of directors of the Borrower may designate an Unrestricted Subsidiary to be a Restricted Subsidiary; </w:t>
      </w:r>
      <w:r>
        <w:rPr>
          <w:rFonts w:ascii="Times New Roman" w:cs="Times New Roman" w:eastAsia="Times New Roman" w:hAnsi="Times New Roman"/>
          <w:sz w:val="20"/>
          <w:szCs w:val="20"/>
          <w:u w:val="single" w:color="auto"/>
          <w:color w:val="auto"/>
        </w:rPr>
        <w:t>provided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w:t>
      </w:r>
    </w:p>
    <w:p>
      <w:pPr>
        <w:spacing w:after="0" w:line="214" w:lineRule="exact"/>
        <w:rPr>
          <w:sz w:val="20"/>
          <w:szCs w:val="20"/>
          <w:color w:val="auto"/>
        </w:rPr>
      </w:pPr>
    </w:p>
    <w:p>
      <w:pPr>
        <w:jc w:val="both"/>
        <w:ind w:firstLine="1591"/>
        <w:spacing w:after="0" w:line="261" w:lineRule="auto"/>
        <w:tabs>
          <w:tab w:leader="none" w:pos="205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designation will be deemed to be an incurrence by the Borrower and its Restricted Subsidiaries of the Indebtedness (if any) and any Investment (if any) of such designated Subsidiary for purposes of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hereof, as applicable, as of the date of such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65" w:name="page66"/>
    <w:bookmarkEnd w:id="65"/>
    <w:p>
      <w:pPr>
        <w:jc w:val="both"/>
        <w:ind w:firstLine="1554"/>
        <w:spacing w:after="0" w:line="261" w:lineRule="auto"/>
        <w:tabs>
          <w:tab w:leader="none" w:pos="2037"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after giving effect to such designation and the incurrence of any such additional Indebtedness (a) the Borrower and its Restricted Subsidiaries would be in pro forma compliance with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and (b) the Borrowing Base Debt,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Outstanding Amount does not exceed the Borrowing Base;</w:t>
      </w:r>
    </w:p>
    <w:p>
      <w:pPr>
        <w:spacing w:after="0" w:line="181" w:lineRule="exact"/>
        <w:rPr>
          <w:rFonts w:ascii="Times New Roman" w:cs="Times New Roman" w:eastAsia="Times New Roman" w:hAnsi="Times New Roman"/>
          <w:sz w:val="20"/>
          <w:szCs w:val="20"/>
          <w:color w:val="auto"/>
        </w:rPr>
      </w:pPr>
    </w:p>
    <w:p>
      <w:pPr>
        <w:ind w:firstLine="1580"/>
        <w:spacing w:after="0" w:line="269" w:lineRule="auto"/>
        <w:tabs>
          <w:tab w:leader="none" w:pos="2144"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Liens on the property and assets of such Unrestricted Subsidiary could then be incurred in accordance with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hereof as of the date of such designation;</w:t>
      </w:r>
    </w:p>
    <w:p>
      <w:pPr>
        <w:spacing w:after="0" w:line="172" w:lineRule="exact"/>
        <w:rPr>
          <w:rFonts w:ascii="Times New Roman" w:cs="Times New Roman" w:eastAsia="Times New Roman" w:hAnsi="Times New Roman"/>
          <w:sz w:val="20"/>
          <w:szCs w:val="20"/>
          <w:color w:val="auto"/>
        </w:rPr>
      </w:pPr>
    </w:p>
    <w:p>
      <w:pPr>
        <w:ind w:right="20" w:firstLine="1574"/>
        <w:spacing w:after="0" w:line="283" w:lineRule="auto"/>
        <w:tabs>
          <w:tab w:leader="none" w:pos="2189"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of this Agreement and the provisions of the Guarantee Agreement are complied with, to the extent applicable thereto, with respect to such Subsidiary; and</w:t>
      </w:r>
    </w:p>
    <w:p>
      <w:pPr>
        <w:spacing w:after="0" w:line="146" w:lineRule="exact"/>
        <w:rPr>
          <w:rFonts w:ascii="Times New Roman" w:cs="Times New Roman" w:eastAsia="Times New Roman" w:hAnsi="Times New Roman"/>
          <w:sz w:val="20"/>
          <w:szCs w:val="20"/>
          <w:color w:val="auto"/>
        </w:rPr>
      </w:pPr>
    </w:p>
    <w:p>
      <w:pPr>
        <w:ind w:left="1940" w:hanging="438"/>
        <w:spacing w:after="0"/>
        <w:tabs>
          <w:tab w:leader="none" w:pos="19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or be continuing.</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Subject to the foregoing, the board of directors of the Borrower also may designate any Restricted Subsidiary to be 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Unrestricted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designation:</w:t>
      </w:r>
    </w:p>
    <w:p>
      <w:pPr>
        <w:spacing w:after="0" w:line="207" w:lineRule="exact"/>
        <w:rPr>
          <w:sz w:val="20"/>
          <w:szCs w:val="20"/>
          <w:color w:val="auto"/>
        </w:rPr>
      </w:pPr>
    </w:p>
    <w:p>
      <w:pPr>
        <w:jc w:val="both"/>
        <w:ind w:firstLine="837"/>
        <w:spacing w:after="0" w:line="261" w:lineRule="auto"/>
        <w:tabs>
          <w:tab w:leader="none" w:pos="1292"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previous Investments by the Company and its Restricted Subsidiaries in such Restricted Subsidiary (net of any returns previously paid on such Investments) will be deemed to be Investments at the time of such designation and such Investments must be permitted at such time under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hereof;</w:t>
      </w:r>
    </w:p>
    <w:p>
      <w:pPr>
        <w:spacing w:after="0" w:line="181" w:lineRule="exact"/>
        <w:rPr>
          <w:rFonts w:ascii="Times New Roman" w:cs="Times New Roman" w:eastAsia="Times New Roman" w:hAnsi="Times New Roman"/>
          <w:sz w:val="20"/>
          <w:szCs w:val="20"/>
          <w:color w:val="auto"/>
        </w:rPr>
      </w:pPr>
    </w:p>
    <w:p>
      <w:pPr>
        <w:jc w:val="both"/>
        <w:ind w:firstLine="646"/>
        <w:spacing w:after="0" w:line="261" w:lineRule="auto"/>
        <w:tabs>
          <w:tab w:leader="none" w:pos="109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after giving effect to such designation and such Investment, (i) the Borrower and its Restricted Subsidiaries would be in pro forma compliance with the financial covenants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and (ii) the Borrowing Base Debt,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Outstanding Amount does not exceed the Borrowing Base; and</w:t>
      </w:r>
    </w:p>
    <w:p>
      <w:pPr>
        <w:spacing w:after="0" w:line="181" w:lineRule="exact"/>
        <w:rPr>
          <w:sz w:val="20"/>
          <w:szCs w:val="20"/>
          <w:color w:val="auto"/>
        </w:rPr>
      </w:pPr>
    </w:p>
    <w:p>
      <w:pPr>
        <w:ind w:left="1100" w:hanging="498"/>
        <w:spacing w:after="0"/>
        <w:tabs>
          <w:tab w:leader="none" w:pos="11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or be continuing.</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Any such designation by the board of directors of the Borrower will be evidenced to the Administrative Agent by delivering a certified copy of the resolution of the board of directors of the Borrower giving effect to such designation and a certificate of a Responsible Officer certifying that such designation complied with the foregoing conditions and setting forth the underlying calculations.</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a “United States person” within the meaning of Section 7701(a)(30) of the Code.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2.16(f)(iii)(C)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Stock</w:t>
      </w:r>
      <w:r>
        <w:rPr>
          <w:rFonts w:ascii="Times New Roman" w:cs="Times New Roman" w:eastAsia="Times New Roman" w:hAnsi="Times New Roman"/>
          <w:sz w:val="20"/>
          <w:szCs w:val="20"/>
          <w:color w:val="auto"/>
        </w:rPr>
        <w:t>”: with respect to any Person, securities of any class of Capital Stock of such Person entitling the holders thereof (whether at all times or only so long as no senior class of stock has voting power by reason of any contingency) to vote in the election of members of the board of directors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13" w:right="339" w:bottom="1440" w:gutter="0" w:footer="0" w:header="0"/>
        </w:sectPr>
      </w:pPr>
    </w:p>
    <w:bookmarkStart w:id="66" w:name="page67"/>
    <w:bookmarkEnd w:id="66"/>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Wholly-Owned Subsidiary</w:t>
      </w:r>
      <w:r>
        <w:rPr>
          <w:rFonts w:ascii="Times New Roman" w:cs="Times New Roman" w:eastAsia="Times New Roman" w:hAnsi="Times New Roman"/>
          <w:sz w:val="20"/>
          <w:szCs w:val="20"/>
          <w:color w:val="auto"/>
        </w:rPr>
        <w:t>”: of any Person, a Subsidiary, of which one hundred percent (100%) of the outstanding Capital Stock is owned directly by such Person or through one or more other Wholly-Owned Subsidiaries of such Person.</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liability to a Multiemployer Plan as a result of a complete or partial withdrawal from such Multiemployer Plan, as such terms are defined in Part I of Subtitle E of Title IV of ERISA.</w:t>
      </w:r>
    </w:p>
    <w:p>
      <w:pPr>
        <w:spacing w:after="0" w:line="1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Other Definitional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-10795</wp:posOffset>
            </wp:positionV>
            <wp:extent cx="16122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8" w:lineRule="exact"/>
        <w:rPr>
          <w:sz w:val="20"/>
          <w:szCs w:val="20"/>
          <w:color w:val="auto"/>
        </w:rPr>
      </w:pPr>
    </w:p>
    <w:p>
      <w:pPr>
        <w:jc w:val="both"/>
        <w:ind w:firstLine="1304"/>
        <w:spacing w:after="0" w:line="249" w:lineRule="auto"/>
        <w:tabs>
          <w:tab w:leader="none" w:pos="1720"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purposes of this Agreement, Loans may be classified and referred to by class (e.g., a “Revolving Loan”) or by Type (e.g., a “Term Benchmark Loan” or an “RFR Loan”) or by class and Type (e.g., a “Term Benchmark Revolving Loan” or an “RFR Revolving Loan”). Borrowings also may be classified and referred to by Class (e.g., a “Revolving Borrowing”) or by Type (e.g., a “Term Benchmark Borrowing” or an “RFR Borrowing”) or by Class and Type (e.g., a “Term Benchmark Revolving Borrowing” or an “RFR Revolving Borrowing”).</w:t>
      </w:r>
    </w:p>
    <w:p>
      <w:pPr>
        <w:spacing w:after="0" w:line="195" w:lineRule="exact"/>
        <w:rPr>
          <w:rFonts w:ascii="Times New Roman" w:cs="Times New Roman" w:eastAsia="Times New Roman" w:hAnsi="Times New Roman"/>
          <w:sz w:val="20"/>
          <w:szCs w:val="20"/>
          <w:color w:val="010000"/>
        </w:rPr>
      </w:pPr>
    </w:p>
    <w:p>
      <w:pPr>
        <w:ind w:firstLine="1304"/>
        <w:spacing w:after="0" w:line="269" w:lineRule="auto"/>
        <w:tabs>
          <w:tab w:leader="none" w:pos="1763"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72" w:lineRule="exact"/>
        <w:rPr>
          <w:rFonts w:ascii="Times New Roman" w:cs="Times New Roman" w:eastAsia="Times New Roman" w:hAnsi="Times New Roman"/>
          <w:sz w:val="20"/>
          <w:szCs w:val="20"/>
          <w:color w:val="010000"/>
        </w:rPr>
      </w:pPr>
    </w:p>
    <w:p>
      <w:pPr>
        <w:jc w:val="both"/>
        <w:ind w:firstLine="1304"/>
        <w:spacing w:after="0" w:line="252" w:lineRule="auto"/>
        <w:tabs>
          <w:tab w:leader="none" w:pos="1774"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As used herein and in the other Loan Documents, and any certificate or other document made or delivered pursuant hereto or thereto, (i) accounting terms relating to any Loan Party not defined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and accounting terms partly defined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w:t>
      </w:r>
      <w:r>
        <w:rPr>
          <w:rFonts w:ascii="Times New Roman" w:cs="Times New Roman" w:eastAsia="Times New Roman" w:hAnsi="Times New Roman"/>
          <w:sz w:val="20"/>
          <w:szCs w:val="20"/>
          <w:color w:val="auto"/>
        </w:rPr>
        <w:t>,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accounts, leasehold interests and contract rights, and (v) references to agreements or other Obligations shall, unless otherwise specified, be deemed to refer to such agreements or Obligations as amended, supplemented, restated or otherwise modified from time to time.</w:t>
      </w:r>
    </w:p>
    <w:p>
      <w:pPr>
        <w:spacing w:after="0" w:line="175"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31"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13" w:right="339" w:bottom="1440" w:gutter="0" w:footer="0" w:header="0"/>
        </w:sectPr>
      </w:pPr>
    </w:p>
    <w:bookmarkStart w:id="67" w:name="page68"/>
    <w:bookmarkEnd w:id="67"/>
    <w:p>
      <w:pPr>
        <w:ind w:left="1780" w:hanging="476"/>
        <w:spacing w:after="0"/>
        <w:tabs>
          <w:tab w:leader="none" w:pos="1780" w:val="left"/>
        </w:tabs>
        <w:numPr>
          <w:ilvl w:val="0"/>
          <w:numId w:val="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meanings given to terms defined herein shall be equally applicable to both the singular and plural forms of such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1.3. GAAP. Notwithstanding anything to the contrary contained in the definition of “GAAP” or in the definitions of “Capitalized Lease” or “Capitalized Lease Obligations,” any change in accounting for leases pursuant to GAAP resulting from the adoption of Financial Accounting Standards Board Accounting Standards Update No. 2016-02, Leases (Topic 842) (“</w:t>
      </w:r>
      <w:r>
        <w:rPr>
          <w:rFonts w:ascii="Times New Roman" w:cs="Times New Roman" w:eastAsia="Times New Roman" w:hAnsi="Times New Roman"/>
          <w:sz w:val="20"/>
          <w:szCs w:val="20"/>
          <w:u w:val="single" w:color="auto"/>
          <w:color w:val="auto"/>
        </w:rPr>
        <w:t>FAS 842</w:t>
      </w:r>
      <w:r>
        <w:rPr>
          <w:rFonts w:ascii="Times New Roman" w:cs="Times New Roman" w:eastAsia="Times New Roman" w:hAnsi="Times New Roman"/>
          <w:sz w:val="20"/>
          <w:szCs w:val="20"/>
          <w:color w:val="auto"/>
        </w:rPr>
        <w:t>”),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-929640</wp:posOffset>
            </wp:positionV>
            <wp:extent cx="4933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1.4. Interest Rates; Benchmark Notification. The interest rate on a Loan denominated in Dollars may be derived from an interest rate benchmark that may be discontinued or is, or may in the future become, the subject of regulatory reform. Upon the occurrence of a Benchmark Transition Event, </w:t>
      </w:r>
      <w:r>
        <w:rPr>
          <w:rFonts w:ascii="Times New Roman" w:cs="Times New Roman" w:eastAsia="Times New Roman" w:hAnsi="Times New Roman"/>
          <w:sz w:val="20"/>
          <w:szCs w:val="20"/>
          <w:u w:val="single" w:color="auto"/>
          <w:color w:val="auto"/>
        </w:rPr>
        <w:t>Section 2.13(b)</w:t>
      </w:r>
      <w:r>
        <w:rPr>
          <w:rFonts w:ascii="Times New Roman" w:cs="Times New Roman" w:eastAsia="Times New Roman" w:hAnsi="Times New Roman"/>
          <w:sz w:val="20"/>
          <w:szCs w:val="20"/>
          <w:color w:val="auto"/>
        </w:rPr>
        <w:t xml:space="preserve">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-2283460</wp:posOffset>
            </wp:positionV>
            <wp:extent cx="21482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48205" cy="8255"/>
                    </a:xfrm>
                    <a:prstGeom prst="rect">
                      <a:avLst/>
                    </a:prstGeom>
                    <a:noFill/>
                  </pic:spPr>
                </pic:pic>
              </a:graphicData>
            </a:graphic>
          </wp:anchor>
        </w:drawing>
      </w: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1.5. Letter of Credit Amounts. Unless otherwise specified herein, the amount of a Letter of Credit at any time shall be deemed to be the amount of such Letter of Credit available to be drawn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Letter of Credit that, by its terms or the terms of any Letter of Credit Agreement related thereto, provides for one or more automatic increases in the available amount thereof (without consideration of the occurrence of any contingency other than the passage of time), the amount of such Letter of Credit shall be deemed to be the maximum amount of such Letter of Credit after giving effect to all such increases, whether or not such maximum amount is available to be drawn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-776605</wp:posOffset>
            </wp:positionV>
            <wp:extent cx="13989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98905" cy="8890"/>
                    </a:xfrm>
                    <a:prstGeom prst="rect">
                      <a:avLst/>
                    </a:prstGeom>
                    <a:noFill/>
                  </pic:spPr>
                </pic:pic>
              </a:graphicData>
            </a:graphic>
          </wp:anchor>
        </w:drawing>
      </w:r>
    </w:p>
    <w:p>
      <w:pPr>
        <w:jc w:val="center"/>
        <w:spacing w:after="0"/>
        <w:tabs>
          <w:tab w:leader="none" w:pos="16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color w:val="auto"/>
        </w:rPr>
        <w:t>AMOUNT AND TERMS OF COMMITMENTS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2.1. Commitments. Subject to the terms and conditions hereof, each Lender severally agrees to make revolving credit loans (“</w:t>
      </w: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xml:space="preserve"> ”) to the Borrower from time to time during the Commitment Period in an aggregate principal amount at any one time outstanding which, when added to such Lender’s Percentage Interest of the L/C Obligations then outstanding, and after giving effect to the proposed Revolving Loan and application of the proceeds thereof to the repayment of any outstanding Obligations, does not exceed the lesser of (A) the amount of such Lender’s Commitment and (B)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-634365</wp:posOffset>
            </wp:positionV>
            <wp:extent cx="9232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23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13" w:right="339" w:bottom="1440" w:gutter="0" w:footer="0" w:header="0"/>
        </w:sectPr>
      </w:pPr>
    </w:p>
    <w:bookmarkStart w:id="68" w:name="page69"/>
    <w:bookmarkEnd w:id="68"/>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Lender’s Percentage Interest of the Borrowing Base Availability. During the Commitment Period the Borrower may use the Commitments by borrowing, prepaying the Revolving Loans in whole or in part, and reborrowing, all in accordance with the terms and conditions hereof. The Revolving Loans may from time to time be Term Benchmark Loans, RFR Loans (solely if applicable after the effectiveness of a Benchmark Replacement or otherwise pursuant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or ABR Loans, as determined by the Borrower and notified to the Administrative Agent in accordance with </w:t>
      </w:r>
      <w:r>
        <w:rPr>
          <w:rFonts w:ascii="Times New Roman" w:cs="Times New Roman" w:eastAsia="Times New Roman" w:hAnsi="Times New Roman"/>
          <w:sz w:val="19"/>
          <w:szCs w:val="19"/>
          <w:u w:val="single" w:color="auto"/>
          <w:color w:val="auto"/>
        </w:rPr>
        <w:t>Sections 2.2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2.9</w:t>
      </w:r>
      <w:r>
        <w:rPr>
          <w:rFonts w:ascii="Times New Roman" w:cs="Times New Roman" w:eastAsia="Times New Roman" w:hAnsi="Times New Roman"/>
          <w:sz w:val="19"/>
          <w:szCs w:val="19"/>
          <w:color w:val="auto"/>
        </w:rPr>
        <w:t>. The Borrower shall repay all outstanding Revolving Loans on the Termination Date.</w:t>
      </w:r>
    </w:p>
    <w:p>
      <w:pPr>
        <w:spacing w:after="0" w:line="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2.2. Procedure for Revolving Loan Borrowing</w:t>
      </w:r>
      <w:r>
        <w:rPr>
          <w:rFonts w:ascii="Times New Roman" w:cs="Times New Roman" w:eastAsia="Times New Roman" w:hAnsi="Times New Roman"/>
          <w:sz w:val="20"/>
          <w:szCs w:val="20"/>
          <w:color w:val="010000"/>
        </w:rPr>
        <w:t>a.</w:t>
      </w:r>
      <w:r>
        <w:rPr>
          <w:rFonts w:ascii="Times New Roman" w:cs="Times New Roman" w:eastAsia="Times New Roman" w:hAnsi="Times New Roman"/>
          <w:sz w:val="20"/>
          <w:szCs w:val="20"/>
          <w:color w:val="auto"/>
        </w:rPr>
        <w:t xml:space="preserve"> . The Borrower may borrow under the Commitments during the Commitment Period on any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give the Administrative Agent irrevocable notice (which notice must be received by the Administrative Agent (a) (1) prior to 2:00 p.m., New York City time, three (3) U.S. Government Securities Business Days prior to the requested Borrowing Date, in the case of Term Benchmark Loans, or (2) in the case of an RFR Loan (solely if applicable after the effectiveness of a Benchmark 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not later than 2:00 p.m., New York City time, five (5) U.S. Government Securities Business Days before the date of the proposed Borrowing, or (b) by 12:00 noon, New York City time, on the requested Borrowing Date, in the case of ABR Loans), specifying: (i) the amount and Type of Loans to be borrowed, (ii) the requested Borrowing Date, (iii) in the case of Term Benchmark Loans, the respective amounts of each such Type of Loan and the respective lengths of the initial Interest Period therefor and (iv) the location and number of the Borrower’s account to which funds are to be disbursed;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notice is submitted through an Approved Borrower Portal, any related signature requirement may be waived at the sole discretion of the Administrative Agent. Each borrowing under the Commitments shall be in an amount equal to (x) in the case of ABR Loans or (solely if applicable after the effectiveness of a Benchmark 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RFR Loans, $1,000,000 or a whole multiple thereof (or, if the then aggregate Available Commitments are less than $1,000,000, such lesser amount) and (y) in the case of Term Benchmark Loans, $5,000,000 or a whole multiple of $1,000,000 in excess thereof. Upon receipt of any such notice from the Borrower, the Administrative Agent shall promptly notify each Lender thereof. Each Lender will make the amount of its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of each borrowing available to the Administrative Agent for the account of the Borrower at the Funding Office prior to 1:00 p.m., New York City time, on the Borrowing Date requested by the Borrower in funds immediately available to the Administrative Agent. Such borrowing will then be made available to the Borrower by the Administrative Agent crediting the account of the Borrower on the books of such office with the aggregate of the amounts made available to the Administrative Agent by the Lenders and in like funds as received by the Administrative Agent or by otherwise transferring such amounts as the Borrower shall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-2880360</wp:posOffset>
            </wp:positionV>
            <wp:extent cx="23018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01875" cy="8890"/>
                    </a:xfrm>
                    <a:prstGeom prst="rect">
                      <a:avLst/>
                    </a:prstGeom>
                    <a:noFill/>
                  </pic:spPr>
                </pic:pic>
              </a:graphicData>
            </a:graphic>
          </wp:anchor>
        </w:drawing>
      </w: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-20320</wp:posOffset>
            </wp:positionV>
            <wp:extent cx="6769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-24765</wp:posOffset>
            </wp:positionV>
            <wp:extent cx="6769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color w:val="auto"/>
        </w:rPr>
        <w:t>Commitment Fees,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-20320</wp:posOffset>
            </wp:positionV>
            <wp:extent cx="12909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194" w:lineRule="exact"/>
        <w:rPr>
          <w:sz w:val="20"/>
          <w:szCs w:val="20"/>
          <w:color w:val="auto"/>
        </w:rPr>
      </w:pPr>
    </w:p>
    <w:p>
      <w:pPr>
        <w:jc w:val="both"/>
        <w:ind w:firstLine="1304"/>
        <w:spacing w:after="0" w:line="253" w:lineRule="auto"/>
        <w:tabs>
          <w:tab w:leader="none" w:pos="1801" w:val="left"/>
        </w:tabs>
        <w:numPr>
          <w:ilvl w:val="0"/>
          <w:numId w:val="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agrees to pay to the Administrative Agent for the account of each Lender a commitment fee for the period from and including the date hereof to but excluding the last day of the Commitment Period, computed at the Commitment Fee Rate on the average daily amount of the Available Commitment of such Lender during the period for which payment is made, payable quarterly in arrears no later than the date that is fifteen (15) days following the last day of such quarter;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the Borrower shall not be obligated to pay a commitment fee for the account of any Defaulting Lender.</w:t>
      </w:r>
    </w:p>
    <w:p>
      <w:pPr>
        <w:spacing w:after="0" w:line="191" w:lineRule="exact"/>
        <w:rPr>
          <w:rFonts w:ascii="Times New Roman" w:cs="Times New Roman" w:eastAsia="Times New Roman" w:hAnsi="Times New Roman"/>
          <w:sz w:val="20"/>
          <w:szCs w:val="20"/>
          <w:color w:val="010000"/>
        </w:rPr>
      </w:pPr>
    </w:p>
    <w:p>
      <w:pPr>
        <w:ind w:firstLine="1304"/>
        <w:spacing w:after="0" w:line="269" w:lineRule="auto"/>
        <w:tabs>
          <w:tab w:leader="none" w:pos="1733" w:val="left"/>
        </w:tabs>
        <w:numPr>
          <w:ilvl w:val="0"/>
          <w:numId w:val="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agrees to pay to the Administrative Agent the fees in the amounts and on the dates as set forth in any fee agreements with the Administrative Agent and to perform any other obligations contained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13" w:right="339" w:bottom="1440" w:gutter="0" w:footer="0" w:header="0"/>
        </w:sectPr>
      </w:pPr>
    </w:p>
    <w:bookmarkStart w:id="69" w:name="page70"/>
    <w:bookmarkEnd w:id="69"/>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2.6. Termination or Reduction of Commitments. Unless previously terminated, the Commitments shall terminate on the Termination Date. The Borrower shall have the right, upon not less than three (3) Business Days’ notice to the Administrative Agent, to terminate the Commitments or, from time to time, to reduce the amount of the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termination or reduction of Commitments shall be permitted if, after giving effect thereto and to any prepayments of the Loans made on the effective date thereof, the Outstanding Amount would exceed the Total Commitments (as so terminated or reduced). Any such reduction shall be in an amount equal to $1,000,000, or a whole multiple thereof, and shall reduce permanently the Commitments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-781050</wp:posOffset>
            </wp:positionV>
            <wp:extent cx="25901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0165" cy="8255"/>
                    </a:xfrm>
                    <a:prstGeom prst="rect">
                      <a:avLst/>
                    </a:prstGeom>
                    <a:noFill/>
                  </pic:spPr>
                </pic:pic>
              </a:graphicData>
            </a:graphic>
          </wp:anchor>
        </w:drawing>
      </w: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2.7. Optional Prepayments. The Borrower may at any time and from time to time prepay the Loans, in whole or in part, without premium or penalty, upon irrevocable notice delivered to the Administrative Agent (a) no later than 2:00 p.m., New York City time, three (3) U.S. Government Securities Business Days prior thereto, in the case of Term Benchmark Loans, (b) no later than 12:00 noon, New York City time, one (1) Business Day prior thereto, in the case of ABR Loans and (c) no later than 2:00 p.m., New York City time, five (5) U.S. Government Securities Business Days prior thereto, in the case of RFR Loans (solely if applicable after the effectiveness of a Benchmark 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which notice shall specify the date and amount of prepayment and whether the prepayment is of Term Benchmark Loans, ABR Loans or RFR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 Term Benchmark Loan or an RFR Loan (solely if applicable after the effectiveness of a Benchmark 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is prepaid on any day other than the last day of the Interest Period applicable thereto, the Borrower shall also pay any amounts owing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and (ii) if such notice is submitted through an Approved Borrower Portal, any related signature requirement may be waived at the sole discretion of the Administrative Agent. Upon receipt of any such notice the Administrative Agent shall promptly notify each relevant Lender thereof. If any such notice is given, the amount specified in such notice shall be due and payable on the date specified therein, together with accrued interest to such date on the amount prepaid. Partial prepayments of Revolving Loans shall be in an aggregate principal amount of $1,000,000 or a whole multiple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-1978660</wp:posOffset>
            </wp:positionV>
            <wp:extent cx="12884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8415" cy="8255"/>
                    </a:xfrm>
                    <a:prstGeom prst="rect">
                      <a:avLst/>
                    </a:prstGeom>
                    <a:noFill/>
                  </pic:spPr>
                </pic:pic>
              </a:graphicData>
            </a:graphic>
          </wp:anchor>
        </w:drawing>
      </w:r>
    </w:p>
    <w:p>
      <w:pPr>
        <w:jc w:val="both"/>
        <w:ind w:right="20" w:firstLine="648"/>
        <w:spacing w:after="0" w:line="246" w:lineRule="auto"/>
        <w:rPr>
          <w:sz w:val="20"/>
          <w:szCs w:val="20"/>
          <w:color w:val="auto"/>
        </w:rPr>
      </w:pPr>
      <w:r>
        <w:rPr>
          <w:rFonts w:ascii="Times New Roman" w:cs="Times New Roman" w:eastAsia="Times New Roman" w:hAnsi="Times New Roman"/>
          <w:sz w:val="20"/>
          <w:szCs w:val="20"/>
          <w:color w:val="auto"/>
        </w:rPr>
        <w:t>2.8. Mandatory Prepayments. If, on any date, the Outstanding Amount exceeds the Borrowing Base Availability, the Borrower shall, on such date, reduce the Outstanding Amount to an amount equal to or less than the Borrowing Base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-173990</wp:posOffset>
            </wp:positionV>
            <wp:extent cx="14255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25575" cy="8255"/>
                    </a:xfrm>
                    <a:prstGeom prst="rect">
                      <a:avLst/>
                    </a:prstGeom>
                    <a:noFill/>
                  </pic:spPr>
                </pic:pic>
              </a:graphicData>
            </a:graphic>
          </wp:anchor>
        </w:drawing>
      </w: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Amounts to be applied in connection with prepayments made pursuant to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shall be applied,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prepayment of Revolving Loans,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if the aggregate principal amount of Revolving Loans then-outstanding is less than the amount of such prepayments (because L/C Obligations constitute a portion thereof), the Borrower shall, to the extent of the balance, deposit an amount in cash equal to the Minimum Collateral Amount in a cash collateral account established with the Administrative Agent for the benefit of the Lenders on terms and conditions reasonably satisfactory to the Administrative Agent. The application of any prepayment of Revolving Loans pursuant to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shall be made,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ABR Loans, and, if applicable to RFR Loans,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Term Benchmark Loans. Each prepayment of the Loans under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shall be accompanied by accrued interest to the date of such prepayment on the amount prepaid.</w:t>
      </w:r>
    </w:p>
    <w:p>
      <w:pPr>
        <w:spacing w:after="0" w:line="19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color w:val="auto"/>
        </w:rPr>
        <w:t>Conversion and Continuation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-10795</wp:posOffset>
            </wp:positionV>
            <wp:extent cx="20345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34540" cy="8890"/>
                    </a:xfrm>
                    <a:prstGeom prst="rect">
                      <a:avLst/>
                    </a:prstGeom>
                    <a:noFill/>
                  </pic:spPr>
                </pic:pic>
              </a:graphicData>
            </a:graphic>
          </wp:anchor>
        </w:drawing>
      </w:r>
    </w:p>
    <w:p>
      <w:pPr>
        <w:spacing w:after="0" w:line="2" w:lineRule="exact"/>
        <w:rPr>
          <w:sz w:val="20"/>
          <w:szCs w:val="20"/>
          <w:color w:val="auto"/>
        </w:rPr>
      </w:pPr>
    </w:p>
    <w:p>
      <w:pPr>
        <w:jc w:val="both"/>
        <w:ind w:firstLine="1304"/>
        <w:spacing w:after="0" w:line="249" w:lineRule="auto"/>
        <w:tabs>
          <w:tab w:leader="none" w:pos="1857" w:val="left"/>
        </w:tabs>
        <w:numPr>
          <w:ilvl w:val="0"/>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may elect from time to time to convert Term Benchmark Loans or (solely if applicable after the effectiveness of a Benchmark 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RFR Loans to ABR Loans by giving the Administrative Agent prior irrevocable notice of such election no later than 12:00 noon, New York City time, on the Business Day preceding the proposed conversion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conversion of Term Benchmark Loans may only be made on the last day of an Interest Period with respect thereto and (ii) if such notice is submitted through an Approved Borrower Portal, any related signature requirement may be waived at the sole discretion of the Administrative Agent. The Borrower may elect from time to time to convert ABR Loans to (i)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13" w:right="339" w:bottom="1440" w:gutter="0" w:footer="0" w:header="0"/>
        </w:sectPr>
      </w:pPr>
    </w:p>
    <w:bookmarkStart w:id="70" w:name="page71"/>
    <w:bookmarkEnd w:id="70"/>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Benchmark Loans by giving the Administrative Agent prior irrevocable notice of such election no later than 2:00 p.m., New York City time, on the third U.S. Government Securities Business Day preceding the proposed conversion date (which notice shall specify the length of the initial Interest Period therefor) and (ii) RFR Loans (solely if applicable after the effectiveness of a Benchmark 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by giving the Administrative Agent prior irrevocable notice of such election no later than 2:00 p.m., New York City time, on the fifth U.S. Government Securities Business Day preceding the proposed conversion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ABR Loan or RFR Loan may be converted into a Term Benchmark Loan when any Event of Default has occurred and is continuing and the Required Lenders have determined in their sole discretion not to permit such conversions and (ii) if such notice is submitted through an Approved Borrower Portal, any related signature requirement may be waived at the sole discretion of the Administrative Agent. Upon receipt of any such notice the Administrative Agent shall promptly notify each relevant Lender thereof.</w:t>
      </w:r>
    </w:p>
    <w:p>
      <w:pPr>
        <w:spacing w:after="0" w:line="176" w:lineRule="exact"/>
        <w:rPr>
          <w:sz w:val="20"/>
          <w:szCs w:val="20"/>
          <w:color w:val="auto"/>
        </w:rPr>
      </w:pPr>
    </w:p>
    <w:p>
      <w:pPr>
        <w:jc w:val="both"/>
        <w:ind w:firstLine="1304"/>
        <w:spacing w:after="0" w:line="252" w:lineRule="auto"/>
        <w:tabs>
          <w:tab w:leader="none" w:pos="1762"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Term Benchmark Loan or (solely if applicable after the effectiveness of a Benchmark 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RFR Loan may be continued as such upon the expiration of the then current Interest Period with respect thereto by the Borrower giving irrevocable notice to the Administrative Agent, in accordance with the applicable provisions of the term “Interest Period” set forth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of the length of the next Interest Period to be applicable to such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Term Benchmark Loan and RFR Loan may be continued as such when any Event of Default has occurred and is continuing and the Required Lenders have determined in their sole discretion not to permit such continuations and (ii) if such notice is submitted through an Approved Borrower Portal, any related signature requirement may be waived at the sole discretion of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the Borrower shall fail to give any required notice as described above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2.10. Limitations on Tranches. Notwithstanding anything to the contrary in this Agreement, all borrowings, conversions and continuations of Term Benchmark Loans and RFR Loans and all selections of Interest Periods shall be in such amounts and be made pursuant to such elections so that, (a) after giving effect thereto, the aggregate principal amount of the Term Benchmark Loans comprising each Tranche shall be equal to $5,000,000 or a whole multiple of $1,000,000 in excess thereof and (b) no more than ten (10) Tranches shall be outstanding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-631825</wp:posOffset>
            </wp:positionV>
            <wp:extent cx="14693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Interest Rates and Payment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-24765</wp:posOffset>
            </wp:positionV>
            <wp:extent cx="18141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14195" cy="8255"/>
                    </a:xfrm>
                    <a:prstGeom prst="rect">
                      <a:avLst/>
                    </a:prstGeom>
                    <a:noFill/>
                  </pic:spPr>
                </pic:pic>
              </a:graphicData>
            </a:graphic>
          </wp:anchor>
        </w:drawing>
      </w:r>
    </w:p>
    <w:p>
      <w:pPr>
        <w:ind w:firstLine="1304"/>
        <w:spacing w:after="0" w:line="253" w:lineRule="auto"/>
        <w:tabs>
          <w:tab w:leader="none" w:pos="1792"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Term Benchmark Loan shall bear interest during each Interest Period with respect thereto at a rate per annum equal to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Rate determined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w:t>
      </w:r>
    </w:p>
    <w:p>
      <w:pPr>
        <w:spacing w:after="0" w:line="188"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ABR Loan shall bear interest at a rate per annum equal to the ABR,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w:t>
      </w:r>
    </w:p>
    <w:p>
      <w:pPr>
        <w:spacing w:after="0" w:line="229" w:lineRule="exact"/>
        <w:rPr>
          <w:rFonts w:ascii="Times New Roman" w:cs="Times New Roman" w:eastAsia="Times New Roman" w:hAnsi="Times New Roman"/>
          <w:sz w:val="20"/>
          <w:szCs w:val="20"/>
          <w:color w:val="010000"/>
        </w:rPr>
      </w:pPr>
    </w:p>
    <w:p>
      <w:pPr>
        <w:ind w:firstLine="1304"/>
        <w:spacing w:after="0" w:line="269" w:lineRule="auto"/>
        <w:tabs>
          <w:tab w:leader="none" w:pos="1808"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RFR Loan (solely if applicable after the effectiveness of a Benchmark 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bear interest at a rate per annum equal to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Daily Simple SOFR,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w:t>
      </w:r>
    </w:p>
    <w:p>
      <w:pPr>
        <w:spacing w:after="0" w:line="172"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94"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If all or a portion of the principal amount of any Loan or Reimbursement Obligation shall not be paid when due (whether at the stated maturity, by acceleration or otherwise), such overdue amount shall bear interest at a rate per annum equal to (x) in the case of the Loans, the rate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13" w:right="339" w:bottom="1440" w:gutter="0" w:footer="0" w:header="0"/>
        </w:sectPr>
      </w:pPr>
    </w:p>
    <w:bookmarkStart w:id="71" w:name="page72"/>
    <w:bookmarkEnd w:id="71"/>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would otherwise be applicable thereto pursuant to the foregoing provisions of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two percent (2%) or (y) in the case of Reimbursement Obligations, the rate applicable to ABR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two percent (2%), and (ii) if all or a portion of any interest payable on any Loan or Reimbursement Obligation or any commitment fee or other amount payable hereunder shall not be paid when due (whether at the stated maturity, by acceleration or otherwise), after giving effect to any applicable grace period, such overdue amount shall bear interest at a rate per annum equal to the rate then applicable to ABR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two percent (2%), in each case, with respect to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from the date of such nonpayment until such amount is paid in full.</w:t>
      </w:r>
    </w:p>
    <w:p>
      <w:pPr>
        <w:spacing w:after="0" w:line="192" w:lineRule="exact"/>
        <w:rPr>
          <w:sz w:val="20"/>
          <w:szCs w:val="20"/>
          <w:color w:val="auto"/>
        </w:rPr>
      </w:pPr>
    </w:p>
    <w:p>
      <w:pPr>
        <w:ind w:left="1740" w:hanging="436"/>
        <w:spacing w:after="0"/>
        <w:tabs>
          <w:tab w:leader="none" w:pos="1740" w:val="left"/>
        </w:tabs>
        <w:numPr>
          <w:ilvl w:val="1"/>
          <w:numId w:val="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Interest shall be payable in arrears on each Interest Payment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interest accruing pursuant to </w:t>
      </w:r>
      <w:r>
        <w:rPr>
          <w:rFonts w:ascii="Times New Roman" w:cs="Times New Roman" w:eastAsia="Times New Roman" w:hAnsi="Times New Roman"/>
          <w:sz w:val="19"/>
          <w:szCs w:val="19"/>
          <w:u w:val="single" w:color="auto"/>
          <w:color w:val="auto"/>
        </w:rPr>
        <w:t>paragraph</w:t>
      </w:r>
    </w:p>
    <w:p>
      <w:pPr>
        <w:spacing w:after="0" w:line="33" w:lineRule="exact"/>
        <w:rPr>
          <w:rFonts w:ascii="Times New Roman" w:cs="Times New Roman" w:eastAsia="Times New Roman" w:hAnsi="Times New Roman"/>
          <w:sz w:val="19"/>
          <w:szCs w:val="19"/>
          <w:color w:val="010000"/>
        </w:rPr>
      </w:pPr>
    </w:p>
    <w:p>
      <w:pPr>
        <w:ind w:left="280" w:hanging="272"/>
        <w:spacing w:after="0"/>
        <w:tabs>
          <w:tab w:leader="none" w:pos="280" w:val="left"/>
        </w:tabs>
        <w:numPr>
          <w:ilvl w:val="0"/>
          <w:numId w:val="4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shall be payable from time to time on demand.</w:t>
      </w:r>
    </w:p>
    <w:p>
      <w:pPr>
        <w:spacing w:after="0" w:line="20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color w:val="auto"/>
        </w:rPr>
        <w:t>Computation of Interest and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-10795</wp:posOffset>
            </wp:positionV>
            <wp:extent cx="18002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 w:lineRule="exact"/>
        <w:rPr>
          <w:sz w:val="20"/>
          <w:szCs w:val="20"/>
          <w:color w:val="auto"/>
        </w:rPr>
      </w:pPr>
    </w:p>
    <w:p>
      <w:pPr>
        <w:jc w:val="both"/>
        <w:ind w:firstLine="1304"/>
        <w:spacing w:after="0" w:line="250" w:lineRule="auto"/>
        <w:tabs>
          <w:tab w:leader="none" w:pos="1738"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Interest and fees payable pursuant hereto shall be calculated on the basis of a 360-day year for the actual days elapsed, except that, with respect to ABR Loans the rate of interest on which is calculated on the basis of the Prime Rate, the interest thereon shall be calculated on the basis of a 365- (or 366-, as the case may be) day year for the actual days elapsed. Interest shall accrue for each period from and including the first day of such period but excluding the last day of such period. The Administrative Agent shall as soon as practicable notify the Borrower and the relevant Lenders of each determination of a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Rate or, if applicable,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Daily Simple SOFR. Any change in the interest rate on a Loan resulting from a change in the ABR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81"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27"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color w:val="auto"/>
        </w:rPr>
        <w:t xml:space="preserve">Inability to Determine Interest Rate. Subject to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-10795</wp:posOffset>
            </wp:positionV>
            <wp:extent cx="19119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11985" cy="8890"/>
                    </a:xfrm>
                    <a:prstGeom prst="rect">
                      <a:avLst/>
                    </a:prstGeom>
                    <a:noFill/>
                  </pic:spPr>
                </pic:pic>
              </a:graphicData>
            </a:graphic>
          </wp:anchor>
        </w:drawing>
      </w:r>
    </w:p>
    <w:p>
      <w:pPr>
        <w:spacing w:after="0" w:line="8" w:lineRule="exact"/>
        <w:rPr>
          <w:sz w:val="20"/>
          <w:szCs w:val="20"/>
          <w:color w:val="auto"/>
        </w:rPr>
      </w:pPr>
    </w:p>
    <w:p>
      <w:pPr>
        <w:jc w:val="both"/>
        <w:ind w:left="1300" w:firstLine="652"/>
        <w:spacing w:after="0" w:line="250" w:lineRule="auto"/>
        <w:tabs>
          <w:tab w:leader="none" w:pos="2361"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determines (which determination shall be conclusive absent manifest error) (A) prior to the commencement of any Interest Period for a Term Benchmark Borrowing, that adequate and reasonable means do not exist for ascertaining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Rate (including because the Term SOFR Reference Rate is not available or published on a current basis), for such Interest Period or (B) at any time, that adequate and reasonable means do not exist for ascertaining the applicable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Daily Simple SOFR (solely if applicable after the effectiveness of a Benchmark 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or</w:t>
      </w:r>
    </w:p>
    <w:p>
      <w:pPr>
        <w:spacing w:after="0" w:line="194" w:lineRule="exact"/>
        <w:rPr>
          <w:rFonts w:ascii="Times New Roman" w:cs="Times New Roman" w:eastAsia="Times New Roman" w:hAnsi="Times New Roman"/>
          <w:sz w:val="20"/>
          <w:szCs w:val="20"/>
          <w:color w:val="010000"/>
        </w:rPr>
      </w:pPr>
    </w:p>
    <w:p>
      <w:pPr>
        <w:jc w:val="both"/>
        <w:ind w:left="1300" w:firstLine="652"/>
        <w:spacing w:after="0" w:line="253" w:lineRule="auto"/>
        <w:tabs>
          <w:tab w:leader="none" w:pos="2495"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is advised by the Required Lenders that (A) prior to the commencement of any Interest Period for a Term Benchmark Borrowing,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Rate for such Interest Period will not adequately and fairly reflect the cost to such Lenders (or Lender) of making or maintaining their Loans (or its Loan) included in such Borrowing for such Interest Period or (B) at any time,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Daily Simple SOFR (solely if applicable after the effectiveness of a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13" w:right="339" w:bottom="1440" w:gutter="0" w:footer="0" w:header="0"/>
        </w:sectPr>
      </w:pPr>
    </w:p>
    <w:bookmarkStart w:id="72" w:name="page73"/>
    <w:bookmarkEnd w:id="72"/>
    <w:p>
      <w:pPr>
        <w:ind w:left="1300"/>
        <w:spacing w:after="0" w:line="283" w:lineRule="auto"/>
        <w:rPr>
          <w:sz w:val="20"/>
          <w:szCs w:val="20"/>
          <w:color w:val="auto"/>
        </w:rPr>
      </w:pPr>
      <w:r>
        <w:rPr>
          <w:rFonts w:ascii="Times New Roman" w:cs="Times New Roman" w:eastAsia="Times New Roman" w:hAnsi="Times New Roman"/>
          <w:sz w:val="20"/>
          <w:szCs w:val="20"/>
          <w:color w:val="auto"/>
        </w:rPr>
        <w:t xml:space="preserve">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will not adequately and fairly reflect the cost to such Lenders (or Lender) of making or maintaining their Loans (or its Loan) included in such Borrowing;</w:t>
      </w:r>
    </w:p>
    <w:p>
      <w:pPr>
        <w:spacing w:after="0" w:line="1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 w:cs="Times New Roman" w:eastAsia="Times New Roman" w:hAnsi="Times New Roman"/>
          <w:sz w:val="19"/>
          <w:szCs w:val="19"/>
          <w:u w:val="single" w:color="auto"/>
          <w:color w:val="auto"/>
        </w:rPr>
        <w:t>Section 2.9</w:t>
      </w:r>
      <w:r>
        <w:rPr>
          <w:rFonts w:ascii="Times New Roman" w:cs="Times New Roman" w:eastAsia="Times New Roman" w:hAnsi="Times New Roman"/>
          <w:sz w:val="19"/>
          <w:szCs w:val="19"/>
          <w:color w:val="auto"/>
        </w:rPr>
        <w:t xml:space="preserve"> or a new borrowing request in accordance with the terms of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(1) any interest election request that requests the conversion of any Revolving Borrowing to, or continuation of any Revolving Borrowing as, a Term Benchmark Borrowing and any Borrowing Request that requests a Term Benchmark Revolving Borrowing shall instead be deemed to be an interest election request or a borrowing request, as applicable, for (x) an RFR Borrowing so long as the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Daily Simple SOFR is not also the subject of </w:t>
      </w:r>
      <w:r>
        <w:rPr>
          <w:rFonts w:ascii="Times New Roman" w:cs="Times New Roman" w:eastAsia="Times New Roman" w:hAnsi="Times New Roman"/>
          <w:sz w:val="19"/>
          <w:szCs w:val="19"/>
          <w:u w:val="single" w:color="auto"/>
          <w:color w:val="auto"/>
        </w:rPr>
        <w:t>Section 2.13(a)(i)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above or (y) an ABR Borrowing if the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Daily Simple SOFR also is the subject of </w:t>
      </w:r>
      <w:r>
        <w:rPr>
          <w:rFonts w:ascii="Times New Roman" w:cs="Times New Roman" w:eastAsia="Times New Roman" w:hAnsi="Times New Roman"/>
          <w:sz w:val="19"/>
          <w:szCs w:val="19"/>
          <w:u w:val="single" w:color="auto"/>
          <w:color w:val="auto"/>
        </w:rPr>
        <w:t>Section 2.13(a)</w:t>
      </w:r>
    </w:p>
    <w:p>
      <w:pPr>
        <w:spacing w:after="0" w:line="4" w:lineRule="exact"/>
        <w:rPr>
          <w:sz w:val="20"/>
          <w:szCs w:val="20"/>
          <w:color w:val="auto"/>
        </w:rPr>
      </w:pPr>
    </w:p>
    <w:p>
      <w:pPr>
        <w:jc w:val="both"/>
        <w:ind w:firstLine="8"/>
        <w:spacing w:after="0" w:line="249" w:lineRule="auto"/>
        <w:tabs>
          <w:tab w:leader="none" w:pos="243" w:val="left"/>
        </w:tabs>
        <w:numPr>
          <w:ilvl w:val="0"/>
          <w:numId w:val="4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and (2) any borrowing request that requests an RFR Borrowing (solely if applicable after the effectiveness of a Benchmark Replacement or otherwise pursuant to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instead be deemed to be a Borrowing Request, as applicable, for an ABR Borrowing;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circumstances giving rise to such notice affect only one Type of Borrowings, then all other Types of Borrowings shall be permitted. Furthermore, if any Term Benchmark Loan or RFR Loan (solely if applicable after the effectiveness of a Benchmark Replacement or otherwise pursuant to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is outstanding on the date of the Borrower’s receipt of the notice from the Administrative Agent referred to in this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xml:space="preserve">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or a new borrowing request in accordance with the terms of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(1) any Term Benchmark Loan shall on the last day of the Interest Period applicable to such Loan, be converted by the Administrative Agent to, and shall constitute, (x) an RFR Borrowing so long as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Daily Simple SOFR is not also the subject of </w:t>
      </w:r>
      <w:r>
        <w:rPr>
          <w:rFonts w:ascii="Times New Roman" w:cs="Times New Roman" w:eastAsia="Times New Roman" w:hAnsi="Times New Roman"/>
          <w:sz w:val="20"/>
          <w:szCs w:val="20"/>
          <w:u w:val="single" w:color="auto"/>
          <w:color w:val="auto"/>
        </w:rPr>
        <w:t>Section 2.13(a)(i)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or (y) an ABR Loan if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Daily Simple SOFR also is the subject of </w:t>
      </w:r>
      <w:r>
        <w:rPr>
          <w:rFonts w:ascii="Times New Roman" w:cs="Times New Roman" w:eastAsia="Times New Roman" w:hAnsi="Times New Roman"/>
          <w:sz w:val="20"/>
          <w:szCs w:val="20"/>
          <w:u w:val="single" w:color="auto"/>
          <w:color w:val="auto"/>
        </w:rPr>
        <w:t>Section 2.13(a)(i)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on such day, and (2) any RFR Loan (solely if applicable after the effectiveness of a Benchmark 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shall on and from such day be converted by the Administrative Agent to, and shall constitute an ABR Loan.</w:t>
      </w:r>
    </w:p>
    <w:p>
      <w:pPr>
        <w:spacing w:after="0" w:line="208" w:lineRule="exact"/>
        <w:rPr>
          <w:rFonts w:ascii="Times New Roman" w:cs="Times New Roman" w:eastAsia="Times New Roman" w:hAnsi="Times New Roman"/>
          <w:sz w:val="20"/>
          <w:szCs w:val="20"/>
          <w:u w:val="single" w:color="auto"/>
          <w:color w:val="auto"/>
        </w:rPr>
      </w:pPr>
    </w:p>
    <w:p>
      <w:pPr>
        <w:jc w:val="both"/>
        <w:ind w:firstLine="1304"/>
        <w:spacing w:after="0" w:line="250" w:lineRule="auto"/>
        <w:tabs>
          <w:tab w:leader="none" w:pos="1750" w:val="left"/>
        </w:tabs>
        <w:numPr>
          <w:ilvl w:val="1"/>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 xml:space="preserve">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1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color w:val="auto"/>
        </w:rPr>
        <w:t>time, written notice of objection to such Benchmark Replacement from Lenders comprising the Required Lenders.</w:t>
      </w:r>
    </w:p>
    <w:p>
      <w:pPr>
        <w:spacing w:after="0" w:line="229" w:lineRule="exact"/>
        <w:rPr>
          <w:sz w:val="20"/>
          <w:szCs w:val="20"/>
          <w:color w:val="auto"/>
        </w:rPr>
      </w:pPr>
    </w:p>
    <w:p>
      <w:pPr>
        <w:jc w:val="both"/>
        <w:ind w:firstLine="1304"/>
        <w:spacing w:after="0" w:line="254" w:lineRule="auto"/>
        <w:tabs>
          <w:tab w:leader="none" w:pos="1767"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7" w:lineRule="exact"/>
        <w:rPr>
          <w:rFonts w:ascii="Times New Roman" w:cs="Times New Roman" w:eastAsia="Times New Roman" w:hAnsi="Times New Roman"/>
          <w:sz w:val="20"/>
          <w:szCs w:val="20"/>
          <w:color w:val="010000"/>
        </w:rPr>
      </w:pPr>
    </w:p>
    <w:p>
      <w:pPr>
        <w:jc w:val="both"/>
        <w:ind w:firstLine="1304"/>
        <w:spacing w:after="0" w:line="252" w:lineRule="auto"/>
        <w:tabs>
          <w:tab w:leader="none" w:pos="1777"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will promptly notify the Borrower and the Lenders of (1) any occurrence of a Benchmark Transition Event, (2) the implementation of any Benchmark Replacement, (3) the effectiveness of any Benchmark Replacement Conforming Changes, (4) the removal or reinstatement of any tenor of a Benchmark pursuant to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below and (5) the commencement or conclusion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752"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9"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716"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Upon the Borrower’s receipt of notice of the commencement of a Benchmark Unavailability Period, the Borrower may revoke any request for a Term Benchmark Borrowing or RFR Borrowing (solely if applicable after the effectiveness of a Benchmark Replacement or otherwise pursuant to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for a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 an RFR Borrowing so long as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Daily Simple SOFR is not the subject of a Benchmark Transition Event or (B) an ABR Borrowing if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Daily Simple SOFR is the subject of a Benchmark Transition Event.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(solely if applicable after the effectiveness of a Benchmark Replacement or otherwise pursuant to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13" w:right="339" w:bottom="1440" w:gutter="0" w:footer="0" w:header="0"/>
        </w:sectPr>
      </w:pPr>
    </w:p>
    <w:bookmarkStart w:id="74" w:name="page75"/>
    <w:bookmarkEnd w:id="74"/>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(1) any Term Benchmark Loan shall on the last day of the Interest Period applicable to such Loan, be converted by the Administrative Agent to, and shall constitute, (x) an RFR Borrowing so long as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Daily Simple SOFR is not the subject of a Benchmark Transition Event or (y) an ABR Loan if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Daily Simple SOFR is the subject of a Benchmark Transition Event, on such day and (2) any RFR Loan (solely if applicable after the effectiveness of a Benchmark Replacement or otherwise pursuant to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shall on and from such day be converted by the Administrative Agent to, and shall constitute an ABR Loan.</w:t>
      </w:r>
    </w:p>
    <w:p>
      <w:pPr>
        <w:spacing w:after="0" w:line="17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color w:val="auto"/>
        </w:rPr>
        <w:t>Pro Rata Treatment and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-10795</wp:posOffset>
            </wp:positionV>
            <wp:extent cx="1837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37690" cy="8255"/>
                    </a:xfrm>
                    <a:prstGeom prst="rect">
                      <a:avLst/>
                    </a:prstGeom>
                    <a:noFill/>
                  </pic:spPr>
                </pic:pic>
              </a:graphicData>
            </a:graphic>
          </wp:anchor>
        </w:drawing>
      </w:r>
    </w:p>
    <w:p>
      <w:pPr>
        <w:spacing w:after="0" w:line="8" w:lineRule="exact"/>
        <w:rPr>
          <w:sz w:val="20"/>
          <w:szCs w:val="20"/>
          <w:color w:val="auto"/>
        </w:rPr>
      </w:pPr>
    </w:p>
    <w:p>
      <w:pPr>
        <w:jc w:val="both"/>
        <w:ind w:firstLine="1304"/>
        <w:spacing w:after="0" w:line="253" w:lineRule="auto"/>
        <w:tabs>
          <w:tab w:leader="none" w:pos="1743"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below, each borrowing by the Borrower from the Lenders hereunder, each payment by the Borrower on account of any commitment fee and any reduction of the Commitments of the Lenders shall be made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according to the respective Percentage Interests of the Lenders.</w:t>
      </w:r>
    </w:p>
    <w:p>
      <w:pPr>
        <w:spacing w:after="0" w:line="188"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72"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below, each payment (including each prepayment) by the Borrower on account of principal of and interest on the Revolving Loans shall be made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according to the respective outstanding principal amounts of the Revolving Loans then held by the Lenders.</w:t>
      </w:r>
    </w:p>
    <w:p>
      <w:pPr>
        <w:spacing w:after="0" w:line="167" w:lineRule="exact"/>
        <w:rPr>
          <w:rFonts w:ascii="Times New Roman" w:cs="Times New Roman" w:eastAsia="Times New Roman" w:hAnsi="Times New Roman"/>
          <w:sz w:val="20"/>
          <w:szCs w:val="20"/>
          <w:color w:val="010000"/>
        </w:rPr>
      </w:pPr>
    </w:p>
    <w:p>
      <w:pPr>
        <w:jc w:val="both"/>
        <w:ind w:firstLine="1304"/>
        <w:spacing w:after="0" w:line="265" w:lineRule="auto"/>
        <w:tabs>
          <w:tab w:leader="none" w:pos="1708" w:val="left"/>
        </w:tabs>
        <w:numPr>
          <w:ilvl w:val="0"/>
          <w:numId w:val="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All payments (including prepayments) to be made by the Borrower hereunder, whether on account of principal, interest, fees or otherwise, shall be made without setoff or counterclaim and shall be made prior to 2:00 p.m., New York City time, on the due date thereof to the Administrative Agent, for the account of the Lenders, at the Funding Office, in Dollars and in immediately available funds. Except as set forth in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below, the Administrative Agent shall distribute such payments to each Lender promptly upon receipt in like funds as received, net of any amounts owing by such Lender pursuant to </w:t>
      </w:r>
      <w:r>
        <w:rPr>
          <w:rFonts w:ascii="Times New Roman" w:cs="Times New Roman" w:eastAsia="Times New Roman" w:hAnsi="Times New Roman"/>
          <w:sz w:val="19"/>
          <w:szCs w:val="19"/>
          <w:u w:val="single" w:color="auto"/>
          <w:color w:val="auto"/>
        </w:rPr>
        <w:t>Section 9.7</w:t>
      </w:r>
      <w:r>
        <w:rPr>
          <w:rFonts w:ascii="Times New Roman" w:cs="Times New Roman" w:eastAsia="Times New Roman" w:hAnsi="Times New Roman"/>
          <w:sz w:val="19"/>
          <w:szCs w:val="19"/>
          <w:color w:val="auto"/>
        </w:rPr>
        <w:t xml:space="preserve">. If any payment hereunder (other than payments on the Term Benchmark Loans or RFR Loans (solely if applicable after the effectiveness of a Benchmark Replacement or otherwise pursuant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becomes due and payable on a day other than a Business Day, such payment shall be extended to the next succeeding Business Day. If any payment on a Term Benchmark Loan or RFR Loan (solely if applicable after the effectiveness of a Benchmark Replacement or otherwise pursuant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69" w:lineRule="exact"/>
        <w:rPr>
          <w:rFonts w:ascii="Times New Roman" w:cs="Times New Roman" w:eastAsia="Times New Roman" w:hAnsi="Times New Roman"/>
          <w:sz w:val="19"/>
          <w:szCs w:val="19"/>
          <w:color w:val="010000"/>
        </w:rPr>
      </w:pPr>
    </w:p>
    <w:p>
      <w:pPr>
        <w:jc w:val="both"/>
        <w:ind w:firstLine="1304"/>
        <w:spacing w:after="0" w:line="253" w:lineRule="auto"/>
        <w:tabs>
          <w:tab w:leader="none" w:pos="1823"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greater of (i) the Federal Funds Effective Rate and (ii) a rate determined by the Administrative Agent in accordance with banking industry rules on interbank compensation,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13" w:right="339" w:bottom="1440" w:gutter="0" w:footer="0" w:header="0"/>
        </w:sectPr>
      </w:pPr>
    </w:p>
    <w:bookmarkStart w:id="75" w:name="page76"/>
    <w:bookmarkEnd w:id="75"/>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period until such Lender makes such amount immediately available to the Administrative Agent. A certificate of the Administrative Agent submitted to any Lender with respect to any amounts owing under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shall be conclusive in the absence of manifest error. If such Lender’s share of such borrowing is not made available to the Administrative Agent by such Lender within three (3) Business Days after such Borrowing Date, the Administrative Agent shall also be entitled to recover such amount with interest thereon at the rate per annum applicable to ABR Loans, on demand, from the Borrower.</w:t>
      </w:r>
    </w:p>
    <w:p>
      <w:pPr>
        <w:spacing w:after="0" w:line="192" w:lineRule="exact"/>
        <w:rPr>
          <w:sz w:val="20"/>
          <w:szCs w:val="20"/>
          <w:color w:val="auto"/>
        </w:rPr>
      </w:pPr>
    </w:p>
    <w:p>
      <w:pPr>
        <w:jc w:val="both"/>
        <w:ind w:firstLine="1304"/>
        <w:spacing w:after="0" w:line="251" w:lineRule="auto"/>
        <w:tabs>
          <w:tab w:leader="none" w:pos="1751" w:val="left"/>
        </w:tabs>
        <w:numPr>
          <w:ilvl w:val="0"/>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and, subject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make available to the Lenders their respective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shares of a corresponding amount. If such payment is not made to the Administrative Agent by the Borrower within three (3)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95"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25" w:val="left"/>
        </w:tabs>
        <w:numPr>
          <w:ilvl w:val="0"/>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any Lender shall fail to make any payment required to be made by it pursuant to </w:t>
      </w:r>
      <w:r>
        <w:rPr>
          <w:rFonts w:ascii="Times New Roman" w:cs="Times New Roman" w:eastAsia="Times New Roman" w:hAnsi="Times New Roman"/>
          <w:sz w:val="20"/>
          <w:szCs w:val="20"/>
          <w:u w:val="single" w:color="auto"/>
          <w:color w:val="auto"/>
        </w:rPr>
        <w:t>Sections 2.14(d)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3.4(a)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9.7</w:t>
      </w:r>
      <w:r>
        <w:rPr>
          <w:rFonts w:ascii="Times New Roman" w:cs="Times New Roman" w:eastAsia="Times New Roman" w:hAnsi="Times New Roman"/>
          <w:sz w:val="20"/>
          <w:szCs w:val="20"/>
          <w:color w:val="auto"/>
        </w:rPr>
        <w:t>, then the Administrative Agent may, in its discretion (notwithstanding any contrary provision of this Agreement), apply any amounts thereafter received by the Administrative Agent or the Issuing Lender for the account of such Lender to satisfy such Lender’s obligations under such Sections until all such unsatisfied obligations are fully paid.</w:t>
      </w:r>
    </w:p>
    <w:p>
      <w:pPr>
        <w:spacing w:after="0" w:line="17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color w:val="auto"/>
        </w:rPr>
        <w:t>Requirements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-10795</wp:posOffset>
            </wp:positionV>
            <wp:extent cx="12141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spacing w:after="0" w:line="8" w:lineRule="exact"/>
        <w:rPr>
          <w:sz w:val="20"/>
          <w:szCs w:val="20"/>
          <w:color w:val="auto"/>
        </w:rPr>
      </w:pPr>
    </w:p>
    <w:p>
      <w:pPr>
        <w:jc w:val="both"/>
        <w:ind w:firstLine="1304"/>
        <w:spacing w:after="0" w:line="248" w:lineRule="auto"/>
        <w:tabs>
          <w:tab w:leader="none" w:pos="1826" w:val="left"/>
        </w:tabs>
        <w:numPr>
          <w:ilvl w:val="0"/>
          <w:numId w:val="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(1) the adoption of or any change in any Requirement of Law or in the interpretation or application thereof or compliance by any Lender or the Issuing Lender with any request or directive (whether or not having the force of law) from any central bank or other Governmental Authority made subsequent to the date hereof, (2) the Dodd-Frank Wall Street Reform and Consumer Protection Act or any requests, rules, guidelines, or directives thereunder or issued in connection therewith, regardless of the date enacted, adopted or issued or (3) any requests, rules, guidelines or directives promulgated by the Bank for International Settlements or the Basel Committee on Banking Supervision (or any successor or similar authority), in each case pursuant to Basel III, regardless of the date actually enacted, adopted or issued:</w:t>
      </w:r>
    </w:p>
    <w:p>
      <w:pPr>
        <w:spacing w:after="0" w:line="197" w:lineRule="exact"/>
        <w:rPr>
          <w:rFonts w:ascii="Times New Roman" w:cs="Times New Roman" w:eastAsia="Times New Roman" w:hAnsi="Times New Roman"/>
          <w:sz w:val="20"/>
          <w:szCs w:val="20"/>
          <w:color w:val="010000"/>
        </w:rPr>
      </w:pPr>
    </w:p>
    <w:p>
      <w:pPr>
        <w:jc w:val="both"/>
        <w:ind w:left="1960" w:firstLine="640"/>
        <w:spacing w:after="0" w:line="258" w:lineRule="auto"/>
        <w:tabs>
          <w:tab w:leader="none" w:pos="3154" w:val="left"/>
        </w:tabs>
        <w:numPr>
          <w:ilvl w:val="1"/>
          <w:numId w:val="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shall subject any Recipient to any Taxes (other than (A) Indemnified Taxes, (B) Taxes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definition of “Excluded Taxes” and (C) Connection Income Taxes) on its loans, loan principal, letters of credit, commitments, or other obligations, or its deposits, reserves, other liabilities or capital attributable thereto;</w:t>
      </w:r>
    </w:p>
    <w:p>
      <w:pPr>
        <w:spacing w:after="0" w:line="172" w:lineRule="exact"/>
        <w:rPr>
          <w:rFonts w:ascii="Times New Roman" w:cs="Times New Roman" w:eastAsia="Times New Roman" w:hAnsi="Times New Roman"/>
          <w:sz w:val="20"/>
          <w:szCs w:val="20"/>
          <w:color w:val="010000"/>
        </w:rPr>
      </w:pPr>
    </w:p>
    <w:p>
      <w:pPr>
        <w:jc w:val="both"/>
        <w:ind w:left="1960" w:firstLine="640"/>
        <w:spacing w:after="0" w:line="261" w:lineRule="auto"/>
        <w:tabs>
          <w:tab w:leader="none" w:pos="3203" w:val="left"/>
        </w:tabs>
        <w:numPr>
          <w:ilvl w:val="1"/>
          <w:numId w:val="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or the Issuing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13" w:right="339" w:bottom="1440" w:gutter="0" w:footer="0" w:header="0"/>
        </w:sectPr>
      </w:pPr>
    </w:p>
    <w:bookmarkStart w:id="76" w:name="page77"/>
    <w:bookmarkEnd w:id="76"/>
    <w:p>
      <w:pPr>
        <w:jc w:val="both"/>
        <w:ind w:left="1960" w:firstLine="640"/>
        <w:spacing w:after="0" w:line="251" w:lineRule="auto"/>
        <w:tabs>
          <w:tab w:leader="none" w:pos="3099" w:val="left"/>
        </w:tabs>
        <w:numPr>
          <w:ilvl w:val="1"/>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shall impose on such Lender or the Issuing Lender any other similar condition, cost or expense (other than taxes) affecting this Agreement or Loans made by such Lender or any Letter of Credit or participation therein; and the result of any of the foregoing is to increase the cost to such Lender or Issuing Lender or such other Recipient, by an amount that such Lender deems to be material, of making, converting into, continuing or maintaining any Term Benchmark Loans participating in Letters of Credit, or to reduce any amount receivable by such Lender or the Issuing Lender or such other Recipient hereunder in respect thereof, then, in any such case, the Borrower shall promptly pay such Lender, the Issuing Lender or such other Recipient, as the case may be, upon its demand, any additional amounts necessary to compensate such Lender, the Issuing Lender or such other Recipient, as the case may be for such increased cost or reduced amount receivable. If any Lender or Issuing Lender becomes entitled to claim any additional amounts pursuant to this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it shall promptly notify the Borrower by providing a certificate along with reasonably detailed calculations of such additional amounts (with a copy to the Administrative Agent) of the event by reason of which it has become so entitled.</w:t>
      </w:r>
    </w:p>
    <w:p>
      <w:pPr>
        <w:spacing w:after="0" w:line="178" w:lineRule="exact"/>
        <w:rPr>
          <w:rFonts w:ascii="Times New Roman" w:cs="Times New Roman" w:eastAsia="Times New Roman" w:hAnsi="Times New Roman"/>
          <w:sz w:val="20"/>
          <w:szCs w:val="20"/>
          <w:color w:val="010000"/>
        </w:rPr>
      </w:pPr>
    </w:p>
    <w:p>
      <w:pPr>
        <w:jc w:val="both"/>
        <w:ind w:firstLine="1304"/>
        <w:spacing w:after="0" w:line="249" w:lineRule="auto"/>
        <w:tabs>
          <w:tab w:leader="none" w:pos="1778"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Lender or the Issuing Lender shall have determined that the adoption of or any change in any Requirement of Law regarding capital or liquidity adequacy or in the interpretation or application thereof or compliance by such Lender or the Issuing Lender or any corporation controlling such Lender or the Issuing Lender with any request or directive regarding capital adequacy (whether or not having the force of law) from any Governmental Authority, including compliance with (i) the Dodd-Frank Wall Street Reform and Consumer Protection Act or any requests, rules, guidelines, or directives thereunder or issued in connection therewith, regardless of the date enacted, adopted or issued and (ii) any requests, rules, guidelines or directives promulgated by the Bank for International Settlements or the Basel Committee on Banking Supervision (or any successor or similar authority) pursuant to Basel III, made subsequent to the date hereof shall have the effect of reducing the rate of return on such Lender’s, or Issuing Lender’s or such corporation’s capital as a consequence of its obligations hereunder or under or in respect of any Letter of Credit to a level below that which such Lender, the Issuing Lender or such corporation could have achieved but for such adoption, change or compliance (taking into consideration such Lender’s, the Issuing Lender’s or such corporation’s policies with respect to capital adequacy and liquidity) by an amount deemed by such Lender or the Issuing Lender to be material, then from time to time, after submission by such Lender or the Issuing Lender to the Borrower by providing a certificate along with reasonably detailed calculations of such additional amounts (with a copy to the Administrative Agent) of a written request therefor, the Borrower shall pay to such Lender or the Issuing Lender such additional amount or amounts as will compensate such Lender, the Issuing Lender or such corporation for such reduction.</w:t>
      </w:r>
    </w:p>
    <w:p>
      <w:pPr>
        <w:spacing w:after="0" w:line="200"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721"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certificate as to any additional amounts payable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submitted by any Lender or the Issuing Lender to the Borrower (with a copy to the Administrative Agent) shall be conclusive in the absence of manifest error. Notwithstanding anything to the contrary in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the Borrower shall not be required to compensate a Lender or the Issuing Lender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for any amounts incurred more than six months prior to the date that such Lender or the Issuing Lender notifies the Borrower of such Lender’s or the Issuing Lender’s intention to claim compensation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circumstances giving rise to such claim have a retroactive effect, then such six-month period shall be extended to include the period of such retroactive effect. The obligations of the Borrower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survive the termination of this Agreement and the payment of the Loans and all other amounts payable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13" w:right="339" w:bottom="1440" w:gutter="0" w:footer="0" w:header="0"/>
        </w:sectPr>
      </w:pPr>
    </w:p>
    <w:bookmarkStart w:id="77" w:name="page78"/>
    <w:bookmarkEnd w:id="77"/>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9"/>
          <w:szCs w:val="19"/>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-10795</wp:posOffset>
            </wp:positionV>
            <wp:extent cx="4146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4655" cy="8255"/>
                    </a:xfrm>
                    <a:prstGeom prst="rect">
                      <a:avLst/>
                    </a:prstGeom>
                    <a:noFill/>
                  </pic:spPr>
                </pic:pic>
              </a:graphicData>
            </a:graphic>
          </wp:anchor>
        </w:drawing>
      </w:r>
    </w:p>
    <w:p>
      <w:pPr>
        <w:spacing w:after="0" w:line="8" w:lineRule="exact"/>
        <w:rPr>
          <w:sz w:val="20"/>
          <w:szCs w:val="20"/>
          <w:color w:val="auto"/>
        </w:rPr>
      </w:pPr>
    </w:p>
    <w:p>
      <w:pPr>
        <w:jc w:val="both"/>
        <w:ind w:firstLine="1304"/>
        <w:spacing w:after="0" w:line="248" w:lineRule="auto"/>
        <w:tabs>
          <w:tab w:leader="none" w:pos="1770"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and all payments by or on account of any obligation of the Borrower under any Loan Document shall be made without deduction or withholding for any Taxes, except as required by applicable law. If any applicable law requires the deduction or withholding of any Tax from any such payment, then the Borrower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the applicable Recipient receives an amount equal to the sum it would have received had no such deduction or withholding been made. As soon as practicable after any payment of Taxes by the Borrower to a Governmental Authority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0" w:lineRule="exact"/>
        <w:rPr>
          <w:rFonts w:ascii="Times New Roman" w:cs="Times New Roman" w:eastAsia="Times New Roman" w:hAnsi="Times New Roman"/>
          <w:sz w:val="20"/>
          <w:szCs w:val="20"/>
          <w:color w:val="010000"/>
        </w:rPr>
      </w:pPr>
    </w:p>
    <w:p>
      <w:pPr>
        <w:ind w:firstLine="1304"/>
        <w:spacing w:after="0" w:line="269" w:lineRule="auto"/>
        <w:tabs>
          <w:tab w:leader="none" w:pos="1857"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addition, the Borrower shall pay any Other Taxes to the relevant Governmental Authority in accordance with applicable law or, at the option of the Administrative Agent, timely reimburse it for the payment of any Other Taxes.</w:t>
      </w:r>
    </w:p>
    <w:p>
      <w:pPr>
        <w:spacing w:after="0" w:line="172" w:lineRule="exact"/>
        <w:rPr>
          <w:rFonts w:ascii="Times New Roman" w:cs="Times New Roman" w:eastAsia="Times New Roman" w:hAnsi="Times New Roman"/>
          <w:sz w:val="20"/>
          <w:szCs w:val="20"/>
          <w:color w:val="010000"/>
        </w:rPr>
      </w:pPr>
    </w:p>
    <w:p>
      <w:pPr>
        <w:jc w:val="both"/>
        <w:ind w:firstLine="1304"/>
        <w:spacing w:after="0" w:line="269" w:lineRule="auto"/>
        <w:tabs>
          <w:tab w:leader="none" w:pos="1851" w:val="left"/>
        </w:tabs>
        <w:numPr>
          <w:ilvl w:val="0"/>
          <w:numId w:val="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shall indemnify each Recipient,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64" w:lineRule="exact"/>
        <w:rPr>
          <w:rFonts w:ascii="Times New Roman" w:cs="Times New Roman" w:eastAsia="Times New Roman" w:hAnsi="Times New Roman"/>
          <w:sz w:val="19"/>
          <w:szCs w:val="19"/>
          <w:color w:val="010000"/>
        </w:rPr>
      </w:pPr>
    </w:p>
    <w:p>
      <w:pPr>
        <w:jc w:val="both"/>
        <w:ind w:firstLine="1304"/>
        <w:spacing w:after="0" w:line="252" w:lineRule="auto"/>
        <w:tabs>
          <w:tab w:leader="none" w:pos="1816"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 xml:space="preserve"> relating to the maintenance of a Participant Register and (iii) any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82"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Lender that is entitled to an exemption from or reduction of withholding tax with respect to payments under this Agreement shall deliver to the Borrower (with a copy to the Administrative Agent), at the time or times reasonably requested by the Borrower or the Administrative Agent, such properly completed and executed documentation reasonably requested by the Borrower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13" w:right="339" w:bottom="1440" w:gutter="0" w:footer="0" w:header="0"/>
        </w:sectPr>
      </w:pPr>
    </w:p>
    <w:bookmarkStart w:id="78" w:name="page79"/>
    <w:bookmarkEnd w:id="78"/>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paragraphs (f)(ii)(A)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5" w:lineRule="exact"/>
        <w:rPr>
          <w:sz w:val="20"/>
          <w:szCs w:val="20"/>
          <w:color w:val="auto"/>
        </w:rPr>
      </w:pPr>
    </w:p>
    <w:p>
      <w:pPr>
        <w:ind w:left="1700" w:hanging="396"/>
        <w:spacing w:after="0"/>
        <w:tabs>
          <w:tab w:leader="none" w:pos="1700"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Without limiting the generality of the foregoing, in the event that the Borrower is a U.S. Person,</w:t>
      </w:r>
    </w:p>
    <w:p>
      <w:pPr>
        <w:spacing w:after="0" w:line="215" w:lineRule="exact"/>
        <w:rPr>
          <w:rFonts w:ascii="Times New Roman" w:cs="Times New Roman" w:eastAsia="Times New Roman" w:hAnsi="Times New Roman"/>
          <w:sz w:val="20"/>
          <w:szCs w:val="20"/>
          <w:color w:val="010000"/>
        </w:rPr>
      </w:pPr>
    </w:p>
    <w:p>
      <w:pPr>
        <w:jc w:val="both"/>
        <w:ind w:left="1300" w:firstLine="652"/>
        <w:spacing w:after="0" w:line="258" w:lineRule="auto"/>
        <w:tabs>
          <w:tab w:leader="none" w:pos="2373" w:val="left"/>
        </w:tabs>
        <w:numPr>
          <w:ilvl w:val="1"/>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85" w:lineRule="exact"/>
        <w:rPr>
          <w:rFonts w:ascii="Times New Roman" w:cs="Times New Roman" w:eastAsia="Times New Roman" w:hAnsi="Times New Roman"/>
          <w:sz w:val="20"/>
          <w:szCs w:val="20"/>
          <w:color w:val="010000"/>
        </w:rPr>
      </w:pPr>
    </w:p>
    <w:p>
      <w:pPr>
        <w:jc w:val="both"/>
        <w:ind w:left="1300" w:firstLine="652"/>
        <w:spacing w:after="0" w:line="276" w:lineRule="auto"/>
        <w:tabs>
          <w:tab w:leader="none" w:pos="2437" w:val="left"/>
        </w:tabs>
        <w:numPr>
          <w:ilvl w:val="1"/>
          <w:numId w:val="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Lender that is not a U.S. Person (a “</w:t>
      </w:r>
      <w:r>
        <w:rPr>
          <w:rFonts w:ascii="Times New Roman" w:cs="Times New Roman" w:eastAsia="Times New Roman" w:hAnsi="Times New Roman"/>
          <w:sz w:val="19"/>
          <w:szCs w:val="19"/>
          <w:u w:val="single" w:color="auto"/>
          <w:color w:val="auto"/>
        </w:rPr>
        <w:t>Non-U.S. Lender</w:t>
      </w:r>
      <w:r>
        <w:rPr>
          <w:rFonts w:ascii="Times New Roman" w:cs="Times New Roman" w:eastAsia="Times New Roman" w:hAnsi="Times New Roman"/>
          <w:sz w:val="19"/>
          <w:szCs w:val="19"/>
          <w:color w:val="auto"/>
        </w:rPr>
        <w:t>”)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whichever of the following is applicable:</w:t>
      </w:r>
    </w:p>
    <w:p>
      <w:pPr>
        <w:spacing w:after="0" w:line="156" w:lineRule="exact"/>
        <w:rPr>
          <w:rFonts w:ascii="Times New Roman" w:cs="Times New Roman" w:eastAsia="Times New Roman" w:hAnsi="Times New Roman"/>
          <w:sz w:val="19"/>
          <w:szCs w:val="19"/>
          <w:color w:val="010000"/>
        </w:rPr>
      </w:pPr>
    </w:p>
    <w:p>
      <w:pPr>
        <w:jc w:val="both"/>
        <w:ind w:left="1960" w:firstLine="640"/>
        <w:spacing w:after="0" w:line="253" w:lineRule="auto"/>
        <w:tabs>
          <w:tab w:leader="none" w:pos="3147" w:val="left"/>
        </w:tabs>
        <w:numPr>
          <w:ilvl w:val="2"/>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a Non-U.S.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92" w:lineRule="exact"/>
        <w:rPr>
          <w:rFonts w:ascii="Times New Roman" w:cs="Times New Roman" w:eastAsia="Times New Roman" w:hAnsi="Times New Roman"/>
          <w:sz w:val="20"/>
          <w:szCs w:val="20"/>
          <w:color w:val="010000"/>
        </w:rPr>
      </w:pPr>
    </w:p>
    <w:p>
      <w:pPr>
        <w:ind w:left="3060" w:hanging="460"/>
        <w:spacing w:after="0"/>
        <w:tabs>
          <w:tab w:leader="none" w:pos="3060" w:val="left"/>
        </w:tabs>
        <w:numPr>
          <w:ilvl w:val="2"/>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executed copies of IRS Form W-8ECI;</w:t>
      </w:r>
    </w:p>
    <w:p>
      <w:pPr>
        <w:spacing w:after="0" w:line="215" w:lineRule="exact"/>
        <w:rPr>
          <w:rFonts w:ascii="Times New Roman" w:cs="Times New Roman" w:eastAsia="Times New Roman" w:hAnsi="Times New Roman"/>
          <w:sz w:val="20"/>
          <w:szCs w:val="20"/>
          <w:color w:val="010000"/>
        </w:rPr>
      </w:pPr>
    </w:p>
    <w:p>
      <w:pPr>
        <w:jc w:val="both"/>
        <w:ind w:left="1960" w:firstLine="640"/>
        <w:spacing w:after="0" w:line="253" w:lineRule="auto"/>
        <w:tabs>
          <w:tab w:leader="none" w:pos="3132" w:val="left"/>
        </w:tabs>
        <w:numPr>
          <w:ilvl w:val="2"/>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the case of a Non-U.S.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F-1</w:t>
      </w:r>
      <w:r>
        <w:rPr>
          <w:rFonts w:ascii="Times New Roman" w:cs="Times New Roman" w:eastAsia="Times New Roman" w:hAnsi="Times New Roman"/>
          <w:sz w:val="20"/>
          <w:szCs w:val="20"/>
          <w:color w:val="auto"/>
        </w:rPr>
        <w:t xml:space="preserve"> to the effect that such Non-U.S.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W-8BEN-E;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13" w:right="339" w:bottom="1440" w:gutter="0" w:footer="0" w:header="0"/>
        </w:sectPr>
      </w:pPr>
    </w:p>
    <w:bookmarkStart w:id="79" w:name="page80"/>
    <w:bookmarkEnd w:id="79"/>
    <w:p>
      <w:pPr>
        <w:jc w:val="both"/>
        <w:ind w:left="1960" w:firstLine="640"/>
        <w:spacing w:after="0" w:line="253" w:lineRule="auto"/>
        <w:tabs>
          <w:tab w:leader="none" w:pos="3137" w:val="left"/>
        </w:tabs>
        <w:numPr>
          <w:ilvl w:val="1"/>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to the extent a Non-U.S. Lender is not the beneficial owner, executed copies of IRS Form W-8IMY, accompanied by IRS Form W-8ECI, IRS Form W-8BEN-E, IRS Form W-8BEN, a U.S. Tax Compliance Certificate substantially in the form of </w:t>
      </w:r>
      <w:r>
        <w:rPr>
          <w:rFonts w:ascii="Times New Roman" w:cs="Times New Roman" w:eastAsia="Times New Roman" w:hAnsi="Times New Roman"/>
          <w:sz w:val="20"/>
          <w:szCs w:val="20"/>
          <w:u w:val="single" w:color="auto"/>
          <w:color w:val="auto"/>
        </w:rPr>
        <w:t>Exhibit F-2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F-3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Non-U.S. Lender is a partnership and one or more direct or indirect partners of such Non-U.S. Lender are claiming the portfolio interest exemption, such Non-U.S. Lender may provide a U.S. Tax Compliance Certificate substantially in the form of </w:t>
      </w:r>
      <w:r>
        <w:rPr>
          <w:rFonts w:ascii="Times New Roman" w:cs="Times New Roman" w:eastAsia="Times New Roman" w:hAnsi="Times New Roman"/>
          <w:sz w:val="20"/>
          <w:szCs w:val="20"/>
          <w:u w:val="single" w:color="auto"/>
          <w:color w:val="auto"/>
        </w:rPr>
        <w:t>Exhibit F-4</w:t>
      </w:r>
      <w:r>
        <w:rPr>
          <w:rFonts w:ascii="Times New Roman" w:cs="Times New Roman" w:eastAsia="Times New Roman" w:hAnsi="Times New Roman"/>
          <w:sz w:val="20"/>
          <w:szCs w:val="20"/>
          <w:color w:val="auto"/>
        </w:rPr>
        <w:t xml:space="preserve"> on behalf of each such direct and indirect partner;</w:t>
      </w:r>
    </w:p>
    <w:p>
      <w:pPr>
        <w:spacing w:after="0" w:line="179" w:lineRule="exact"/>
        <w:rPr>
          <w:rFonts w:ascii="Times New Roman" w:cs="Times New Roman" w:eastAsia="Times New Roman" w:hAnsi="Times New Roman"/>
          <w:sz w:val="20"/>
          <w:szCs w:val="20"/>
          <w:color w:val="010000"/>
        </w:rPr>
      </w:pPr>
    </w:p>
    <w:p>
      <w:pPr>
        <w:jc w:val="both"/>
        <w:ind w:left="1300" w:firstLine="652"/>
        <w:spacing w:after="0" w:line="253" w:lineRule="auto"/>
        <w:tabs>
          <w:tab w:leader="none" w:pos="2574" w:val="left"/>
        </w:tabs>
        <w:numPr>
          <w:ilvl w:val="0"/>
          <w:numId w:val="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79" w:lineRule="exact"/>
        <w:rPr>
          <w:rFonts w:ascii="Times New Roman" w:cs="Times New Roman" w:eastAsia="Times New Roman" w:hAnsi="Times New Roman"/>
          <w:sz w:val="20"/>
          <w:szCs w:val="20"/>
          <w:color w:val="010000"/>
        </w:rPr>
      </w:pPr>
    </w:p>
    <w:p>
      <w:pPr>
        <w:jc w:val="both"/>
        <w:ind w:left="1300" w:firstLine="652"/>
        <w:spacing w:after="0" w:line="250" w:lineRule="auto"/>
        <w:tabs>
          <w:tab w:leader="none" w:pos="2431" w:val="left"/>
        </w:tabs>
        <w:numPr>
          <w:ilvl w:val="0"/>
          <w:numId w:val="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a payment made to a Lender under this Agreement would be subject to U.S. federal withholding tax imposed by FATCA and the rules and regulations promulgated pursuant thereto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Administrative Agent, such documentation prescribed by applicable law (including as prescribed by Section 1471(b)(3)(C)(i) of the Code) and such additional documentation reasonably requested by the Borrower or Administrative Agent as may be necessary for the Borrower and the Administrative Agent to comply with their obligations under FATCA, to determine that such Lender has or has not complied with such Lender’s obligations under FATCA and, as necessary, to determine the amount to deduct and withhold from such payment. Solely for purposes of this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“FATCA” shall include any amendments made to FATCA after the date of this Agreement.</w:t>
      </w:r>
    </w:p>
    <w:p>
      <w:pPr>
        <w:spacing w:after="0" w:line="20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3" w:lineRule="exact"/>
        <w:rPr>
          <w:sz w:val="20"/>
          <w:szCs w:val="20"/>
          <w:color w:val="auto"/>
        </w:rPr>
      </w:pPr>
    </w:p>
    <w:p>
      <w:pPr>
        <w:jc w:val="both"/>
        <w:ind w:firstLine="1304"/>
        <w:spacing w:after="0" w:line="253" w:lineRule="auto"/>
        <w:tabs>
          <w:tab w:leader="none" w:pos="1778" w:val="left"/>
        </w:tabs>
        <w:numPr>
          <w:ilvl w:val="0"/>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13" w:right="339" w:bottom="1440" w:gutter="0" w:footer="0" w:header="0"/>
        </w:sectPr>
      </w:pPr>
    </w:p>
    <w:bookmarkStart w:id="80" w:name="page81"/>
    <w:bookmarkEnd w:id="80"/>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auto"/>
        </w:rPr>
        <w:t>paragraph (g)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paragraph (g)</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paragraph (g)</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0"/>
          <w:szCs w:val="20"/>
          <w:u w:val="single" w:color="auto"/>
          <w:color w:val="auto"/>
        </w:rPr>
        <w:t>paragraph (g)</w:t>
      </w:r>
      <w:r>
        <w:rPr>
          <w:rFonts w:ascii="Times New Roman" w:cs="Times New Roman" w:eastAsia="Times New Roman" w:hAnsi="Times New Roman"/>
          <w:sz w:val="20"/>
          <w:szCs w:val="20"/>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76" w:lineRule="exact"/>
        <w:rPr>
          <w:sz w:val="20"/>
          <w:szCs w:val="20"/>
          <w:color w:val="auto"/>
        </w:rPr>
      </w:pPr>
    </w:p>
    <w:p>
      <w:pPr>
        <w:jc w:val="both"/>
        <w:ind w:firstLine="1304"/>
        <w:spacing w:after="0" w:line="268" w:lineRule="auto"/>
        <w:tabs>
          <w:tab w:leader="none" w:pos="1782"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agreements in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the termination of this Agreement and the payment of the Loans and all other amounts payable hereunder.</w:t>
      </w:r>
    </w:p>
    <w:p>
      <w:pPr>
        <w:spacing w:after="0" w:line="161" w:lineRule="exact"/>
        <w:rPr>
          <w:rFonts w:ascii="Times New Roman" w:cs="Times New Roman" w:eastAsia="Times New Roman" w:hAnsi="Times New Roman"/>
          <w:sz w:val="20"/>
          <w:szCs w:val="20"/>
          <w:color w:val="010000"/>
        </w:rPr>
      </w:pPr>
    </w:p>
    <w:p>
      <w:pPr>
        <w:ind w:left="1700" w:hanging="396"/>
        <w:spacing w:after="0"/>
        <w:tabs>
          <w:tab w:leader="none" w:pos="1700" w:val="left"/>
        </w:tabs>
        <w:numPr>
          <w:ilvl w:val="0"/>
          <w:numId w:val="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For purposes of this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the term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includes an Issuing Lender and the term “applicable law” includes</w:t>
      </w:r>
    </w:p>
    <w:p>
      <w:pPr>
        <w:spacing w:after="0" w:line="39"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FATCA.</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2.17. Indemnity(b) . (a) With respect to Loans that are not RFR Loans, in the event of (i) the payment of any principal of any Term Benchmark Loan other than on the last day of an Interest Period applicable thereto (including as a result of an Event of Default or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and is revoked in accordance therewith) or (iv) the assignment of any Term Benchmark Loan other than on the last day of the Interest Period applicable thereto as a result of a request by the Borrower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then, in any such event, the Borrower shall compensate each Lender for the loss, cost and expense attributable to such event. A certificate of any Lender setting forth any amount or amounts that such Lender is entitled to receive pursuant to this </w:t>
      </w:r>
      <w:r>
        <w:rPr>
          <w:rFonts w:ascii="Times New Roman" w:cs="Times New Roman" w:eastAsia="Times New Roman" w:hAnsi="Times New Roman"/>
          <w:sz w:val="20"/>
          <w:szCs w:val="20"/>
          <w:u w:val="single" w:color="auto"/>
          <w:color w:val="auto"/>
        </w:rPr>
        <w:t>Section 2.17(a)</w:t>
      </w:r>
      <w:r>
        <w:rPr>
          <w:rFonts w:ascii="Times New Roman" w:cs="Times New Roman" w:eastAsia="Times New Roman" w:hAnsi="Times New Roman"/>
          <w:sz w:val="20"/>
          <w:szCs w:val="20"/>
          <w:color w:val="auto"/>
        </w:rPr>
        <w:t xml:space="preserve"> shall be delivered to the Borrower and shall be conclusive absent manifest error. The Borrower shall pay such Lender the amount shown as due on any such certificate within 10 days after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-1386205</wp:posOffset>
            </wp:positionV>
            <wp:extent cx="6762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6275" cy="8255"/>
                    </a:xfrm>
                    <a:prstGeom prst="rect">
                      <a:avLst/>
                    </a:prstGeom>
                    <a:noFill/>
                  </pic:spPr>
                </pic:pic>
              </a:graphicData>
            </a:graphic>
          </wp:anchor>
        </w:drawing>
      </w:r>
    </w:p>
    <w:p>
      <w:pPr>
        <w:jc w:val="both"/>
        <w:ind w:firstLine="656"/>
        <w:spacing w:after="0" w:line="249" w:lineRule="auto"/>
        <w:tabs>
          <w:tab w:leader="none" w:pos="111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RFR Loans (solely if applicable after the effectiveness of a Benchmark 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and is revoked in accordance therewith) or (iii) the assignment of any RFR Loan other than on the Interest Payment Date applicable thereto as a result of a request by the Borrower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then, in any such event, the Borrower shall compensate each Lender for the loss, cost and expense attributable to such event. A certificate of any Lender setting forth any amount or amounts that such Lender is entitled to receive pursuant to this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xml:space="preserve"> shall be delivered to the Borrower and shall be conclusive absent manifest error. The Borrower shall pay such Lender the amount shown as due on any such certificate within 10 days after receipt thereof.</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2.18. Change of Lending Office. Each Lender agrees that, upon the occurrence of any event giving rise to the operation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2.16(a)</w:t>
      </w:r>
      <w:r>
        <w:rPr>
          <w:rFonts w:ascii="Times New Roman" w:cs="Times New Roman" w:eastAsia="Times New Roman" w:hAnsi="Times New Roman"/>
          <w:sz w:val="20"/>
          <w:szCs w:val="20"/>
          <w:color w:val="auto"/>
        </w:rPr>
        <w:t xml:space="preserve"> with respect to such Lender, it will, if requested by the Borrower, use reasonable efforts (subject to overall policy considerations of such Lender) to designate another lending office for any Loans affected by such event with the object of avoiding the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-483235</wp:posOffset>
            </wp:positionV>
            <wp:extent cx="14624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62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13" w:right="339" w:bottom="1440" w:gutter="0" w:footer="0" w:header="0"/>
        </w:sectPr>
      </w:pPr>
    </w:p>
    <w:bookmarkStart w:id="81" w:name="page82"/>
    <w:bookmarkEnd w:id="81"/>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of such event;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designation is made on terms that, in the sole judgment of such Lender, cause such Lender and its lending office(s) to suffer no economic, legal or regulatory disadvantage,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shall affect or postpone any of the obligations of the Borrower or the rights of any Lender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2.16(a)</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2.19. Replacement of Lenders. The Borrower shall be permitted to replace any Lender that (a) requests reimbursement for amounts owing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2.16(a)</w:t>
      </w:r>
      <w:r>
        <w:rPr>
          <w:rFonts w:ascii="Times New Roman" w:cs="Times New Roman" w:eastAsia="Times New Roman" w:hAnsi="Times New Roman"/>
          <w:sz w:val="20"/>
          <w:szCs w:val="20"/>
          <w:color w:val="auto"/>
        </w:rPr>
        <w:t xml:space="preserve">, (b) is a Defaulting Lender, or (c) does not consent to any proposed amendment, supplement, modification, consent or waiver of any provision of this Agreement or any other Loan Document that requires the consent of each of the Lenders or each of the Lenders affected thereby (so long as the consent of the Required Lenders has been obtained), with a replacement financial institution;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replacement does not conflict with any Requirement of Law, (ii) no Event of Default shall have occurred and be continuing at the time of such replacement, (iii) prior to any such replacement, such Lender shall have taken no action under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so as to eliminate the continued need for payment of amounts owing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2.16(a)</w:t>
      </w:r>
      <w:r>
        <w:rPr>
          <w:rFonts w:ascii="Times New Roman" w:cs="Times New Roman" w:eastAsia="Times New Roman" w:hAnsi="Times New Roman"/>
          <w:sz w:val="20"/>
          <w:szCs w:val="20"/>
          <w:color w:val="auto"/>
        </w:rPr>
        <w:t xml:space="preserve">, (iv) the replacement Lender shall purchase, at par, all Loans and other amounts owing to such replaced Lender on or prior to the date of replacement (it being understood that, upon receipt by such replaced Lender of all amounts owing to it, such replaced Lender shall be deemed to have assigned its Commitment to the replacement Lender pursuant to a form of Assignment and Assumption in accordance with the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10.6</w:t>
      </w:r>
      <w:r>
        <w:rPr>
          <w:rFonts w:ascii="Times New Roman" w:cs="Times New Roman" w:eastAsia="Times New Roman" w:hAnsi="Times New Roman"/>
          <w:sz w:val="20"/>
          <w:szCs w:val="20"/>
          <w:color w:val="auto"/>
        </w:rPr>
        <w:t xml:space="preserve">), (v) the Borrower shall be liable to such replaced Lender under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if any Term Benchmark Loan or any RFR Loan (solely if applicable after the effectiveness of a Benchmark Replacement or otherwise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owing to such replaced Lender shall be purchased other than on the last day of the Interest Period relating thereto, (vi) the replacement Lender shall be an Eligible Assignee reasonably satisfactory to the Administrative Agent, (vii) the replaced Lender shall be obligated to make such replacement in accordance with the provisions of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obligated to pay the registration and processing fee referred to therein), (viii) until such time as such replacement shall be consummated, the Borrower shall pay all additional amounts (if any) required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2.16(a)</w:t>
      </w:r>
      <w:r>
        <w:rPr>
          <w:rFonts w:ascii="Times New Roman" w:cs="Times New Roman" w:eastAsia="Times New Roman" w:hAnsi="Times New Roman"/>
          <w:sz w:val="20"/>
          <w:szCs w:val="20"/>
          <w:color w:val="auto"/>
        </w:rPr>
        <w:t>, as the case may be, and (ix) any such replacement shall not be deemed to be a waiver of any rights that the Borrower, the Administrative Agent or any other Lender shall have against the replaced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-2580005</wp:posOffset>
            </wp:positionV>
            <wp:extent cx="13620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2.20.</w:t>
      </w:r>
      <w:r>
        <w:rPr>
          <w:sz w:val="20"/>
          <w:szCs w:val="20"/>
          <w:color w:val="auto"/>
        </w:rPr>
        <w:tab/>
      </w:r>
      <w:r>
        <w:rPr>
          <w:rFonts w:ascii="Times New Roman" w:cs="Times New Roman" w:eastAsia="Times New Roman" w:hAnsi="Times New Roman"/>
          <w:sz w:val="19"/>
          <w:szCs w:val="19"/>
          <w:color w:val="auto"/>
        </w:rPr>
        <w:t>Defaulting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-24765</wp:posOffset>
            </wp:positionV>
            <wp:extent cx="10991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ind w:firstLine="1304"/>
        <w:spacing w:after="0" w:line="267" w:lineRule="auto"/>
        <w:tabs>
          <w:tab w:leader="none" w:pos="1793" w:val="left"/>
        </w:tabs>
        <w:numPr>
          <w:ilvl w:val="0"/>
          <w:numId w:val="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contained in this Agreement, if any Lender becomes a Defaulting Lender, then, until such time as such Lender is no longer a Defaulting Lender, to the extent permitted by applicable law:</w:t>
      </w:r>
    </w:p>
    <w:p>
      <w:pPr>
        <w:spacing w:after="0" w:line="161" w:lineRule="exact"/>
        <w:rPr>
          <w:rFonts w:ascii="Times New Roman" w:cs="Times New Roman" w:eastAsia="Times New Roman" w:hAnsi="Times New Roman"/>
          <w:sz w:val="20"/>
          <w:szCs w:val="20"/>
          <w:color w:val="010000"/>
        </w:rPr>
      </w:pPr>
    </w:p>
    <w:p>
      <w:pPr>
        <w:jc w:val="both"/>
        <w:ind w:left="1300" w:firstLine="652"/>
        <w:spacing w:after="0" w:line="253" w:lineRule="auto"/>
        <w:tabs>
          <w:tab w:leader="none" w:pos="2360" w:val="left"/>
        </w:tabs>
        <w:numPr>
          <w:ilvl w:val="1"/>
          <w:numId w:val="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Voting</w:t>
      </w:r>
      <w:r>
        <w:rPr>
          <w:rFonts w:ascii="Times New Roman" w:cs="Times New Roman" w:eastAsia="Times New Roman" w:hAnsi="Times New Roman"/>
          <w:sz w:val="20"/>
          <w:szCs w:val="20"/>
          <w:color w:val="auto"/>
        </w:rPr>
        <w:t xml:space="preserve">. Such Defaulting Lender shall not be entitled to vote on any matter requiring the consent or approval of all Lenders or the Required Lenders, and the Commitment of such Defaulting Lender shall not be included in determining whether all Lenders or the Required Lenders have taken or may take any action hereunder (including any consent to any amendment, waiver or other modification pursuant to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any waiver, amendment or modification requiring the consent of all Lenders or each affected Lender which affects such Defaulting Lender differently than other affected Lenders shall require the consent of such Defaulting Lender and (b) the Commitment of such Defaulting Lender may not be increased without the consent of such Defaulting Lender, Administrative Agent and Borrower.</w:t>
      </w:r>
    </w:p>
    <w:p>
      <w:pPr>
        <w:spacing w:after="0" w:line="179" w:lineRule="exact"/>
        <w:rPr>
          <w:rFonts w:ascii="Times New Roman" w:cs="Times New Roman" w:eastAsia="Times New Roman" w:hAnsi="Times New Roman"/>
          <w:sz w:val="20"/>
          <w:szCs w:val="20"/>
          <w:color w:val="010000"/>
        </w:rPr>
      </w:pPr>
    </w:p>
    <w:p>
      <w:pPr>
        <w:jc w:val="both"/>
        <w:ind w:left="1300" w:firstLine="652"/>
        <w:spacing w:after="0" w:line="258" w:lineRule="auto"/>
        <w:tabs>
          <w:tab w:leader="none" w:pos="2536" w:val="left"/>
        </w:tabs>
        <w:numPr>
          <w:ilvl w:val="1"/>
          <w:numId w:val="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shall be applied at such time or times as may be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13" w:right="339" w:bottom="1440" w:gutter="0" w:footer="0" w:header="0"/>
        </w:sectPr>
      </w:pPr>
    </w:p>
    <w:bookmarkStart w:id="82" w:name="page83"/>
    <w:bookmarkEnd w:id="82"/>
    <w:p>
      <w:pPr>
        <w:jc w:val="both"/>
        <w:ind w:left="180"/>
        <w:spacing w:after="0" w:line="248" w:lineRule="auto"/>
        <w:rPr>
          <w:sz w:val="20"/>
          <w:szCs w:val="20"/>
          <w:color w:val="auto"/>
        </w:rPr>
      </w:pPr>
      <w:r>
        <w:rPr>
          <w:rFonts w:ascii="Times New Roman" w:cs="Times New Roman" w:eastAsia="Times New Roman" w:hAnsi="Times New Roman"/>
          <w:sz w:val="20"/>
          <w:szCs w:val="20"/>
          <w:color w:val="auto"/>
        </w:rPr>
        <w:t xml:space="preserve">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of any amounts owing by such Defaulting Lender to any Issuing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Cash Collateralize the Issuing Lenders’ Fronting Exposure with respect to such Defaulting Lender in accordance with </w:t>
      </w:r>
      <w:r>
        <w:rPr>
          <w:rFonts w:ascii="Times New Roman" w:cs="Times New Roman" w:eastAsia="Times New Roman" w:hAnsi="Times New Roman"/>
          <w:sz w:val="20"/>
          <w:szCs w:val="20"/>
          <w:u w:val="single" w:color="auto"/>
          <w:color w:val="auto"/>
        </w:rPr>
        <w:t>Section 3.11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deposit account and released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in order to (x) satisfy such Defaulting Lender’s potential future funding obligations with respect to Loans under this Agreement and (y) Cash Collateralize the Issuing Lenders’ 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u w:val="single" w:color="auto"/>
          <w:color w:val="auto"/>
        </w:rPr>
        <w:t>Section 3.11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or the Issuing Lenders as a result of any judgment of a court of competent jurisdiction obtained by any Lender or the Issuing Lenders against such Defaulting Lender as a result of such Defaulting Lender’s breach of its obligations under this Agreement;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L/C Obligations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were satisfied or waived, such payment shall be applied solely to pay the Loans of, and L/C Obligations owed to, all Non-Defaulting Lenders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prior to being applied to the payment of any Loans of, or L/C Obligations owed to, such Defaulting Lender until such time as all Loans and funded and unfunded participations in L/C Obligations are held by the Lenders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in accordance with the Commitments without giving effect to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215" w:lineRule="exact"/>
        <w:rPr>
          <w:sz w:val="20"/>
          <w:szCs w:val="20"/>
          <w:color w:val="auto"/>
        </w:rPr>
      </w:pPr>
    </w:p>
    <w:p>
      <w:pPr>
        <w:ind w:left="1320" w:hanging="488"/>
        <w:spacing w:after="0"/>
        <w:tabs>
          <w:tab w:leader="none" w:pos="1320" w:val="left"/>
        </w:tabs>
        <w:numPr>
          <w:ilvl w:val="0"/>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jc w:val="both"/>
        <w:ind w:left="840" w:firstLine="640"/>
        <w:spacing w:after="0" w:line="268" w:lineRule="auto"/>
        <w:tabs>
          <w:tab w:leader="none" w:pos="1980" w:val="left"/>
        </w:tabs>
        <w:numPr>
          <w:ilvl w:val="1"/>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 Defaulting Lender shall be entitled to receive any commitment fee contemplated by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61" w:lineRule="exact"/>
        <w:rPr>
          <w:rFonts w:ascii="Times New Roman" w:cs="Times New Roman" w:eastAsia="Times New Roman" w:hAnsi="Times New Roman"/>
          <w:sz w:val="20"/>
          <w:szCs w:val="20"/>
          <w:color w:val="010000"/>
        </w:rPr>
      </w:pPr>
    </w:p>
    <w:p>
      <w:pPr>
        <w:jc w:val="both"/>
        <w:ind w:left="840" w:firstLine="640"/>
        <w:spacing w:after="0" w:line="258" w:lineRule="auto"/>
        <w:tabs>
          <w:tab w:leader="none" w:pos="2027" w:val="left"/>
        </w:tabs>
        <w:numPr>
          <w:ilvl w:val="1"/>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Defaulting Lender shall be entitled to receive any fees pursuant to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for any period during which that Lender is a Defaulting Lender only to the extent allocable to its Percentage Interest of the stated amount of Letters of Credit for which the Defaulting Lender has provided Cash Collateral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2.20(a)(ii)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0120"/>
          </w:cols>
          <w:pgMar w:left="1440" w:top="1413" w:right="339" w:bottom="1440" w:gutter="0" w:footer="0" w:header="0"/>
        </w:sectPr>
      </w:pPr>
    </w:p>
    <w:bookmarkStart w:id="83" w:name="page84"/>
    <w:bookmarkEnd w:id="83"/>
    <w:p>
      <w:pPr>
        <w:jc w:val="both"/>
        <w:ind w:left="1960" w:firstLine="640"/>
        <w:spacing w:after="0" w:line="253" w:lineRule="auto"/>
        <w:tabs>
          <w:tab w:leader="none" w:pos="3164" w:val="left"/>
        </w:tabs>
        <w:numPr>
          <w:ilvl w:val="2"/>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With respect to any fees pursuant to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not required to be paid to any Defaulting Lender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below, (y) pay to each Issuing Lender the amount of any such fee otherwise payable to such Defaulting Lender to the extent allocable to such Issuing Lender’s Fronting Exposure to such Defaulting Lender, and (z) not be required to pay the remaining amount of any such fee.</w:t>
      </w:r>
    </w:p>
    <w:p>
      <w:pPr>
        <w:spacing w:after="0" w:line="179" w:lineRule="exact"/>
        <w:rPr>
          <w:rFonts w:ascii="Times New Roman" w:cs="Times New Roman" w:eastAsia="Times New Roman" w:hAnsi="Times New Roman"/>
          <w:sz w:val="20"/>
          <w:szCs w:val="20"/>
          <w:color w:val="010000"/>
        </w:rPr>
      </w:pPr>
    </w:p>
    <w:p>
      <w:pPr>
        <w:jc w:val="both"/>
        <w:ind w:left="1300" w:firstLine="652"/>
        <w:spacing w:after="0" w:line="252" w:lineRule="auto"/>
        <w:tabs>
          <w:tab w:leader="none" w:pos="2553" w:val="left"/>
        </w:tabs>
        <w:numPr>
          <w:ilvl w:val="1"/>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Reallocation of Participations to Reduce Fronting Exposure</w:t>
      </w:r>
      <w:r>
        <w:rPr>
          <w:rFonts w:ascii="Times New Roman" w:cs="Times New Roman" w:eastAsia="Times New Roman" w:hAnsi="Times New Roman"/>
          <w:sz w:val="20"/>
          <w:szCs w:val="20"/>
          <w:color w:val="auto"/>
        </w:rPr>
        <w:t xml:space="preserve">. All or any part of such Defaulting Lender’s participation in L/C Obligations shall be reallocated among the Non-Defaulting Lenders in accordance with their respective Percentage Interests (calculated without regard to such Defaulting Lender’s Commitment) but only to the extent that (x) the conditions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7" w:lineRule="exact"/>
        <w:rPr>
          <w:rFonts w:ascii="Times New Roman" w:cs="Times New Roman" w:eastAsia="Times New Roman" w:hAnsi="Times New Roman"/>
          <w:sz w:val="20"/>
          <w:szCs w:val="20"/>
          <w:color w:val="010000"/>
        </w:rPr>
      </w:pPr>
    </w:p>
    <w:p>
      <w:pPr>
        <w:jc w:val="both"/>
        <w:ind w:left="1300" w:firstLine="652"/>
        <w:spacing w:after="0" w:line="261" w:lineRule="auto"/>
        <w:tabs>
          <w:tab w:leader="none" w:pos="2403" w:val="left"/>
        </w:tabs>
        <w:numPr>
          <w:ilvl w:val="1"/>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xml:space="preserve">. If the reallocation described in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above cannot, or can only partially, be effected, the Borrower shall, without prejudice to any right or remedy available to it hereunder or under law, Cash Collateralize the Issuing Lenders’ Fronting Exposure in accordance with the procedures set forth in </w:t>
      </w:r>
      <w:r>
        <w:rPr>
          <w:rFonts w:ascii="Times New Roman" w:cs="Times New Roman" w:eastAsia="Times New Roman" w:hAnsi="Times New Roman"/>
          <w:sz w:val="20"/>
          <w:szCs w:val="20"/>
          <w:u w:val="single" w:color="auto"/>
          <w:color w:val="auto"/>
        </w:rPr>
        <w:t>Section 3.11</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792"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Borrower, the Administrative Agent and each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by the Lenders in accordance with the Commitments (without giving effect to </w:t>
      </w:r>
      <w:r>
        <w:rPr>
          <w:rFonts w:ascii="Times New Roman" w:cs="Times New Roman" w:eastAsia="Times New Roman" w:hAnsi="Times New Roman"/>
          <w:sz w:val="20"/>
          <w:szCs w:val="20"/>
          <w:u w:val="single" w:color="auto"/>
          <w:color w:val="auto"/>
        </w:rPr>
        <w:t>Section 2.20(a)(iv)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6" w:lineRule="exact"/>
        <w:rPr>
          <w:rFonts w:ascii="Times New Roman" w:cs="Times New Roman" w:eastAsia="Times New Roman" w:hAnsi="Times New Roman"/>
          <w:sz w:val="20"/>
          <w:szCs w:val="20"/>
          <w:color w:val="010000"/>
        </w:rPr>
      </w:pPr>
    </w:p>
    <w:p>
      <w:pPr>
        <w:ind w:right="20" w:firstLine="1304"/>
        <w:spacing w:after="0" w:line="269" w:lineRule="auto"/>
        <w:tabs>
          <w:tab w:leader="none" w:pos="1794"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New Letters of Credit</w:t>
      </w:r>
      <w:r>
        <w:rPr>
          <w:rFonts w:ascii="Times New Roman" w:cs="Times New Roman" w:eastAsia="Times New Roman" w:hAnsi="Times New Roman"/>
          <w:sz w:val="20"/>
          <w:szCs w:val="20"/>
          <w:color w:val="auto"/>
        </w:rPr>
        <w:t>. So long as any Lender is a Defaulting Lender, no Issuing Lender shall be required to issue, extend, renew or increase any Letter of Credit unless it is satisfied that it will have no Fronting Exposure after giving effect thereto.</w:t>
      </w:r>
    </w:p>
    <w:p>
      <w:pPr>
        <w:spacing w:after="0" w:line="172" w:lineRule="exact"/>
        <w:rPr>
          <w:rFonts w:ascii="Times New Roman" w:cs="Times New Roman" w:eastAsia="Times New Roman" w:hAnsi="Times New Roman"/>
          <w:sz w:val="20"/>
          <w:szCs w:val="20"/>
          <w:color w:val="010000"/>
        </w:rPr>
      </w:pPr>
    </w:p>
    <w:p>
      <w:pPr>
        <w:ind w:firstLine="1304"/>
        <w:spacing w:after="0" w:line="283" w:lineRule="auto"/>
        <w:tabs>
          <w:tab w:leader="none" w:pos="1750"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(i) a Bankruptcy Event or a Bail-In Action with respect to a Lender Parent shall occur following the date hereof and for so long as such event shall continue or (ii) any Issuing Lender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13" w:right="339" w:bottom="1440" w:gutter="0" w:footer="0" w:header="0"/>
        </w:sectPr>
      </w:pPr>
    </w:p>
    <w:bookmarkStart w:id="84" w:name="page85"/>
    <w:bookmarkEnd w:id="84"/>
    <w:p>
      <w:pPr>
        <w:jc w:val="both"/>
        <w:spacing w:after="0" w:line="258" w:lineRule="auto"/>
        <w:rPr>
          <w:sz w:val="20"/>
          <w:szCs w:val="20"/>
          <w:color w:val="auto"/>
        </w:rPr>
      </w:pPr>
      <w:r>
        <w:rPr>
          <w:rFonts w:ascii="Times New Roman" w:cs="Times New Roman" w:eastAsia="Times New Roman" w:hAnsi="Times New Roman"/>
          <w:sz w:val="20"/>
          <w:szCs w:val="20"/>
          <w:color w:val="auto"/>
        </w:rPr>
        <w:t>a good faith belief that any Lender has defaulted in fulfilling its obligations under one or more other agreements in which such Lender commits to extend credit, no Issuing Lender shall be required to issue, amend or increase any Letter of Credit, unless such Issuing Lender shall have entered into arrangements with the Borrower or such Lender, satisfactory to such Issuing Lender to defease any risk to it in respect of such Lender hereunder.</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2.21. Increase in Commitments. The Borrower may, at its option, at any time or from time to time </w:t>
      </w:r>
      <w:r>
        <w:rPr>
          <w:rFonts w:ascii="Times New Roman" w:cs="Times New Roman" w:eastAsia="Times New Roman" w:hAnsi="Times New Roman"/>
          <w:sz w:val="20"/>
          <w:szCs w:val="20"/>
          <w:u w:val="single" w:color="auto"/>
          <w:color w:val="0000FF"/>
        </w:rPr>
        <w:t>after the Third Amendment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Effective Date but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prior to the Termination Date, increase the Total Commitments by up to $</w:t>
      </w:r>
      <w:r>
        <w:rPr>
          <w:rFonts w:ascii="Times New Roman" w:cs="Times New Roman" w:eastAsia="Times New Roman" w:hAnsi="Times New Roman"/>
          <w:sz w:val="20"/>
          <w:szCs w:val="20"/>
          <w:color w:val="FF0000"/>
          <w:strike w:val="1"/>
        </w:rPr>
        <w:t>135,000,000</w:t>
      </w:r>
      <w:r>
        <w:rPr>
          <w:rFonts w:ascii="Times New Roman" w:cs="Times New Roman" w:eastAsia="Times New Roman" w:hAnsi="Times New Roman"/>
          <w:sz w:val="20"/>
          <w:szCs w:val="20"/>
          <w:u w:val="single" w:color="auto"/>
          <w:color w:val="0000FF"/>
        </w:rPr>
        <w:t>100,000,000</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w:t>
      </w:r>
      <w:r>
        <w:rPr>
          <w:rFonts w:ascii="Times New Roman" w:cs="Times New Roman" w:eastAsia="Times New Roman" w:hAnsi="Times New Roman"/>
          <w:sz w:val="20"/>
          <w:szCs w:val="20"/>
          <w:u w:val="single" w:color="auto"/>
          <w:color w:val="000000"/>
        </w:rPr>
        <w:t>Commitment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Increase</w:t>
      </w:r>
      <w:r>
        <w:rPr>
          <w:rFonts w:ascii="Times New Roman" w:cs="Times New Roman" w:eastAsia="Times New Roman" w:hAnsi="Times New Roman"/>
          <w:sz w:val="20"/>
          <w:szCs w:val="20"/>
          <w:color w:val="000000"/>
        </w:rPr>
        <w:t>”) to an aggregate principal amount not to exceed $</w:t>
      </w:r>
      <w:r>
        <w:rPr>
          <w:rFonts w:ascii="Times New Roman" w:cs="Times New Roman" w:eastAsia="Times New Roman" w:hAnsi="Times New Roman"/>
          <w:sz w:val="20"/>
          <w:szCs w:val="20"/>
          <w:color w:val="FF0000"/>
          <w:strike w:val="1"/>
        </w:rPr>
        <w:t>400,000,000</w:t>
      </w:r>
      <w:r>
        <w:rPr>
          <w:rFonts w:ascii="Times New Roman" w:cs="Times New Roman" w:eastAsia="Times New Roman" w:hAnsi="Times New Roman"/>
          <w:sz w:val="20"/>
          <w:szCs w:val="20"/>
          <w:u w:val="single" w:color="auto"/>
          <w:color w:val="0000FF"/>
        </w:rPr>
        <w:t>625,000,000</w:t>
      </w:r>
      <w:r>
        <w:rPr>
          <w:rFonts w:ascii="Times New Roman" w:cs="Times New Roman" w:eastAsia="Times New Roman" w:hAnsi="Times New Roman"/>
          <w:sz w:val="20"/>
          <w:szCs w:val="20"/>
          <w:color w:val="000000"/>
        </w:rPr>
        <w:t xml:space="preserve"> by requesting the existing Lenders or new lenders to commit to any such Commitment Increase;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 no Lender shall be required to commit to any such increase; (ii) such increase shall be in an amount equal to at least $10,000,000 (or such lesser amount as agreed by the Administrative Agent) or a whole multiple of $1,000,000 in excess thereof; (iii) no such increase shall become effective unless at the time thereof and after giving effect thereto (A) no Default or Event of Default shall have occurred and be continuing, (B) each of the representations and warranties made by any Loan Party in or pursuant to the Loan Documents shall be true and correct in all material respects;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further</w:t>
      </w:r>
      <w:r>
        <w:rPr>
          <w:rFonts w:ascii="Times New Roman" w:cs="Times New Roman" w:eastAsia="Times New Roman" w:hAnsi="Times New Roman"/>
          <w:sz w:val="20"/>
          <w:szCs w:val="20"/>
          <w:color w:val="000000"/>
        </w:rPr>
        <w:t xml:space="preserve">, that, to the extent any such representation and warranty is already qualified by materiality or reference to Material Adverse Effect, such representation shall be true and correct in all respects and (C) the Administrative Agent shall have received a certificate from Borrower to the effect of </w:t>
      </w:r>
      <w:r>
        <w:rPr>
          <w:rFonts w:ascii="Times New Roman" w:cs="Times New Roman" w:eastAsia="Times New Roman" w:hAnsi="Times New Roman"/>
          <w:sz w:val="20"/>
          <w:szCs w:val="20"/>
          <w:u w:val="single" w:color="auto"/>
          <w:color w:val="000000"/>
        </w:rPr>
        <w:t>sub-clauses (A)</w:t>
      </w:r>
      <w:r>
        <w:rPr>
          <w:rFonts w:ascii="Times New Roman" w:cs="Times New Roman" w:eastAsia="Times New Roman" w:hAnsi="Times New Roman"/>
          <w:sz w:val="20"/>
          <w:szCs w:val="20"/>
          <w:color w:val="000000"/>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-1386205</wp:posOffset>
            </wp:positionV>
            <wp:extent cx="14852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jc w:val="both"/>
        <w:ind w:firstLine="8"/>
        <w:spacing w:after="0" w:line="261" w:lineRule="auto"/>
        <w:tabs>
          <w:tab w:leader="none" w:pos="313" w:val="left"/>
        </w:tabs>
        <w:numPr>
          <w:ilvl w:val="0"/>
          <w:numId w:val="6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of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and (iv) no new lender shall become a Lender pursuant to this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unless such lender is an Eligible Assignee and the Administrative Agent and each Issuing Lender shall have given its prior written consent;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such prior written consent shall (1) not be unreasonably withheld, conditioned or delayed and (2) only be required to the extent such consent would be required in connection with the assignment of Loans or Commitments to such new lender pursuant to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xml:space="preserve">. The Borrower shall be entitled to pay upfront or other fees to such lenders who extend credit pursuant to this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as the Borrower and such lenders may agree. Such increases in the Commitments shall become effective on the date (each such date, an “</w:t>
      </w:r>
      <w:r>
        <w:rPr>
          <w:rFonts w:ascii="Times New Roman" w:cs="Times New Roman" w:eastAsia="Times New Roman" w:hAnsi="Times New Roman"/>
          <w:sz w:val="19"/>
          <w:szCs w:val="19"/>
          <w:u w:val="single" w:color="auto"/>
          <w:color w:val="auto"/>
        </w:rPr>
        <w:t>Increased Facility Closing Date</w:t>
      </w:r>
      <w:r>
        <w:rPr>
          <w:rFonts w:ascii="Times New Roman" w:cs="Times New Roman" w:eastAsia="Times New Roman" w:hAnsi="Times New Roman"/>
          <w:sz w:val="19"/>
          <w:szCs w:val="19"/>
          <w:color w:val="auto"/>
        </w:rPr>
        <w:t>”) specified in an activation notice delivered to the Administrative Agent no less than ten (10) Business Days prior to the effective date of such notice specifying the amount of the increase and the effective date thereof (or such earlier date as may be agreed by the Administrative Agent in its sole discretion). Each new lender that provides any part of any such increase in the Commitments (a “</w:t>
      </w:r>
      <w:r>
        <w:rPr>
          <w:rFonts w:ascii="Times New Roman" w:cs="Times New Roman" w:eastAsia="Times New Roman" w:hAnsi="Times New Roman"/>
          <w:sz w:val="19"/>
          <w:szCs w:val="19"/>
          <w:u w:val="single" w:color="auto"/>
          <w:color w:val="auto"/>
        </w:rPr>
        <w:t>New Lender</w:t>
      </w:r>
      <w:r>
        <w:rPr>
          <w:rFonts w:ascii="Times New Roman" w:cs="Times New Roman" w:eastAsia="Times New Roman" w:hAnsi="Times New Roman"/>
          <w:sz w:val="19"/>
          <w:szCs w:val="19"/>
          <w:color w:val="auto"/>
        </w:rPr>
        <w:t>”) shall execute a New Lender Supplement (each, a “</w:t>
      </w:r>
      <w:r>
        <w:rPr>
          <w:rFonts w:ascii="Times New Roman" w:cs="Times New Roman" w:eastAsia="Times New Roman" w:hAnsi="Times New Roman"/>
          <w:sz w:val="19"/>
          <w:szCs w:val="19"/>
          <w:u w:val="single" w:color="auto"/>
          <w:color w:val="auto"/>
        </w:rPr>
        <w:t>New Lender Supplement</w:t>
      </w:r>
      <w:r>
        <w:rPr>
          <w:rFonts w:ascii="Times New Roman" w:cs="Times New Roman" w:eastAsia="Times New Roman" w:hAnsi="Times New Roman"/>
          <w:sz w:val="19"/>
          <w:szCs w:val="19"/>
          <w:color w:val="auto"/>
        </w:rPr>
        <w:t xml:space="preserve">”), substantially in the form of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 whereupon such New Lender shall become a Lender for all purposes and to the same extent as if originally a party hereto and shall be bound by and entitled to the benefits of this Agreement. Unless otherwise agreed by Administrative Agent, on each Increased Facility Closing Date, Borrower shall borrow Revolving Loans under the relevant increased Commitments from each Lender participating in the relevant increase in an amount determined by reference to the amount of each Type of Loan (and, in the case of Term Benchmark Loans, of each Tranche) which would then have been outstanding from such Lender if (x) each such Type or Tranche had been borrowed or effected on such Increased Facility Closing Date and</w:t>
      </w:r>
    </w:p>
    <w:p>
      <w:pPr>
        <w:jc w:val="both"/>
        <w:spacing w:after="0" w:line="251" w:lineRule="auto"/>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20"/>
          <w:szCs w:val="20"/>
          <w:color w:val="auto"/>
        </w:rPr>
        <w:t xml:space="preserve">(y) the aggregate amount of each such Type or Tranche requested to be so borrowed or effected had been proportionately increased, and, if applicable in connection with such increased Commitments, Borrower shall pay all amounts due under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The Relevant Rate applicable to any Term Benchmark Loan borrowed pursuant to the preceding sentence shall equal the Relevant Rate then applicable to the Term Benchmark Loans of the other Lenders in the same Tranche (or, until the expiration of the then-current Interest Period, such other rate as shall be agreed upon between Borrower and the relevant Lender).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13" w:right="339" w:bottom="1440" w:gutter="0" w:footer="0" w:header="0"/>
        </w:sectPr>
      </w:pPr>
    </w:p>
    <w:bookmarkStart w:id="85" w:name="page86"/>
    <w:bookmarkEnd w:id="85"/>
    <w:p>
      <w:pPr>
        <w:jc w:val="center"/>
        <w:ind w:right="-19"/>
        <w:spacing w:after="0"/>
        <w:tabs>
          <w:tab w:leader="none" w:pos="18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color w:val="auto"/>
        </w:rPr>
        <w:t>LETTERS OF CREDIT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3.1. General. Subject to the terms and conditions set forth herein, the Borrower may request any Issuing Lender to issue letters of credit (“</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xml:space="preserve">”) as the applicant thereof for the support of its or its Subsidiaries’ obligations, in a form reasonably acceptable to such Issuing Lender, at any time and from time to time during the Commitment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Goldman Sachs Lending Partners LLC shall not be obligated to issue commercial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-473075</wp:posOffset>
            </wp:positionV>
            <wp:extent cx="5403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3.2. Notice of Issuance, Amendment, Extension; Certain Conditions(a) . To request the issuance of a Letter of Credit (or the amendment or extension of an outstanding Letter of Credit), the Borrower shall hand deliver or telecopy (or transmit by electronic communication, including an Approved Borrower Portal, if arrangements for doing so have been approved by the respective Issuing Lender) to an Issuing Lender selected by it and to the Administrative Agent (reasonably in advance of the requested date of issuance, amendment or extension, but in any event no less than three (3) Business Days)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the amount of such Letter of Credit, the name and address of the beneficiary thereof and such other information as shall be necessary to prepare, amend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respective Issuing Lender and using such Issuing Lender’s standard form (each, a “</w:t>
      </w:r>
      <w:r>
        <w:rPr>
          <w:rFonts w:ascii="Times New Roman" w:cs="Times New Roman" w:eastAsia="Times New Roman" w:hAnsi="Times New Roman"/>
          <w:sz w:val="20"/>
          <w:szCs w:val="20"/>
          <w:u w:val="single" w:color="auto"/>
          <w:color w:val="auto"/>
        </w:rPr>
        <w:t>Letter of Credit Agreement</w:t>
      </w:r>
      <w:r>
        <w:rPr>
          <w:rFonts w:ascii="Times New Roman" w:cs="Times New Roman" w:eastAsia="Times New Roman" w:hAnsi="Times New Roman"/>
          <w:sz w:val="20"/>
          <w:szCs w:val="20"/>
          <w:color w:val="auto"/>
        </w:rPr>
        <w:t xml:space="preserve">”). In the event of any inconsistency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 shall be deemed to represent and warrant that), after giving effect to such issuance, amendment or extension (i) (A) the L/C Obligations would not exceed the L/C Sublimit and (B) such Issuing Lender’s Percentage Interest of L/C Obligations when aggregated with such Issuing Lender’s Percentage Interest of outstanding Revolving Loans would not exceed such Issuing Lender’s Commitment, (ii) the aggregate amount of the Available Commitments would not be less than zero, and (iii) the Borrowing Base Availability,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Outstanding Amount would not be less than zero. The Borrower may, at any time and from time to time, reduce the Letter of Credit Commitment of any Issuing Lender with the consent of such Issuing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reduce the Letter of Credit Commitment of any Issuing Lender if, after giving effect of such reduction, the conditions set forth in clauses (i) through (iii) above shall not be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-3030855</wp:posOffset>
            </wp:positionV>
            <wp:extent cx="34486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48685"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0"/>
          <w:szCs w:val="20"/>
          <w:color w:val="auto"/>
        </w:rPr>
        <w:t>An Issuing Lender shall not be under any obligation to issue any Letter of Credit if:</w:t>
      </w:r>
    </w:p>
    <w:p>
      <w:pPr>
        <w:spacing w:after="0" w:line="207" w:lineRule="exact"/>
        <w:rPr>
          <w:sz w:val="20"/>
          <w:szCs w:val="20"/>
          <w:color w:val="auto"/>
        </w:rPr>
      </w:pPr>
    </w:p>
    <w:p>
      <w:pPr>
        <w:jc w:val="both"/>
        <w:ind w:left="660" w:firstLine="968"/>
        <w:spacing w:after="0" w:line="253" w:lineRule="auto"/>
        <w:tabs>
          <w:tab w:leader="none" w:pos="207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such Issuing Lender from issuing such Letter of Credit, or any law applicable to such Issuing Lender shall prohibit, or require that such Issuing Lender refrain from, the issuance of letters of credit generally or such Letter of Credit in particular or shall impose upon such Issuing Lender with respect to such Letter of Credit any restriction, reserve or capital requirement (for which such Issuing Lender is not otherwise compensated hereunder) not in effect on the Closing Date, or shall impose upon such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13" w:right="339" w:bottom="1440" w:gutter="0" w:footer="0" w:header="0"/>
        </w:sectPr>
      </w:pPr>
    </w:p>
    <w:bookmarkStart w:id="86" w:name="page87"/>
    <w:bookmarkEnd w:id="86"/>
    <w:p>
      <w:pPr>
        <w:ind w:left="660"/>
        <w:spacing w:after="0" w:line="283" w:lineRule="auto"/>
        <w:rPr>
          <w:sz w:val="20"/>
          <w:szCs w:val="20"/>
          <w:color w:val="auto"/>
        </w:rPr>
      </w:pPr>
      <w:r>
        <w:rPr>
          <w:rFonts w:ascii="Times New Roman" w:cs="Times New Roman" w:eastAsia="Times New Roman" w:hAnsi="Times New Roman"/>
          <w:sz w:val="20"/>
          <w:szCs w:val="20"/>
          <w:color w:val="auto"/>
        </w:rPr>
        <w:t>Lender any unreimbursed loss, cost or expense that was not applicable on the Closing Date and that such Issuing Lender in good faith deems material to it; or</w:t>
      </w:r>
    </w:p>
    <w:p>
      <w:pPr>
        <w:spacing w:after="0" w:line="146" w:lineRule="exact"/>
        <w:rPr>
          <w:sz w:val="20"/>
          <w:szCs w:val="20"/>
          <w:color w:val="auto"/>
        </w:rPr>
      </w:pPr>
    </w:p>
    <w:p>
      <w:pPr>
        <w:ind w:left="660" w:firstLine="968"/>
        <w:spacing w:after="0" w:line="283" w:lineRule="auto"/>
        <w:tabs>
          <w:tab w:leader="none" w:pos="2079"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such Issuing Lender applicable to letters of credit generally.</w:t>
      </w:r>
    </w:p>
    <w:p>
      <w:pPr>
        <w:spacing w:after="0" w:line="14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3.3. Expiration Date. Each Letter of Credit shall expire (or be subject to termination by notice from the applicable Issuing Lender to the beneficiary thereof) at or prior to the close of business on the earlier of (i) the date one year after the date of the issuance of such Letter of Credit (or, in the case of any extension of the expiration date thereof, one year after such extension) and (ii) the date that is five (5) Business Days prior to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-483235</wp:posOffset>
            </wp:positionV>
            <wp:extent cx="9499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color w:val="auto"/>
        </w:rPr>
        <w:t>Fees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-20320</wp:posOffset>
            </wp:positionV>
            <wp:extent cx="13271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jc w:val="both"/>
        <w:ind w:firstLine="1304"/>
        <w:spacing w:after="0" w:line="249" w:lineRule="auto"/>
        <w:tabs>
          <w:tab w:leader="none" w:pos="1718" w:val="left"/>
        </w:tabs>
        <w:numPr>
          <w:ilvl w:val="0"/>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will pay a fee on the undrawn portion of all outstanding Letters of Credit at a per annum rate equal to the Applicable Margin then in effect with respect to Term Benchmark Loans, shared ratably among the Lenders and payable quarterly in arrears on calendar quarters no later than the date that is fifteen (15) days following the last day of such calendar quarter. In addition, the Borrower shall pay to each Issuing Lender for its own account a fronting fee equal to the greater of (x) $500 and (y) 0.125% per annum on the aggregate undrawn and unexpired amount of each Letter of Credit issued by it, payable quarterly in arrears on calendar quarters no later than the date that is fifteen (15) days following the last day of such calendar quarter after the issuance date.</w:t>
      </w:r>
    </w:p>
    <w:p>
      <w:pPr>
        <w:spacing w:after="0" w:line="193"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855" w:val="left"/>
        </w:tabs>
        <w:numPr>
          <w:ilvl w:val="0"/>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addition to the foregoing fees, the Borrower shall pay or reimburse each Issuing Lender for such normal and customary costs and expenses as are incurred or charged by such Issuing Lender in issuing, negotiating, effecting payment under, amending or otherwise administering any Letter of Credit.</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3.5. Participations. By the issuance of a Letter of Credit (or an amendment to a Letter of Credit increasing the amount thereof) and without any further action on the part of the applicable Issuing Lender or the Lenders, such Issuing Lender hereby grants to each Lender, and each Lender hereby acquires from such Issuing Lender, a participation in such Letter of Credit equal to such Lender’s Percentage Interest of the aggregate amount available to be drawn under such Letter of Credit. In consideration and in furtherance of the foregoing, each Lender hereby absolutely and unconditionally agrees to pay to the Administrative Agent, for the account of the respective Issuing Lender, such Lender’s Percentage Interest of each L/C Disbursement made by such Issuing Lender and not reimbursed by the Borrower on the date due as provided in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or of any reimbursement payment required to be refunded to the Borrower for any reason, including after the Termination Date. Each such payment shall be made without any offset, abatement, withholding or reduction whatsoever. Each Lender acknowledges and agrees that its obligation to acquire participations pursuant to this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in respect of Letters of Credit is absolute and unconditional and shall not be affected by any circumstance whatsoever, including any amendment or extension of any Letter of Credit or the occurrence and continuance of a Default or reduction or termination of the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-1531620</wp:posOffset>
            </wp:positionV>
            <wp:extent cx="8248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3.6. Reimbursement. If an Issuing Lender shall make any L/C Disbursement in respect of a Letter of Credit, the Borrower shall reimburse such L/C Disbursement by paying to the Administrative Agent an amount equal to such L/C Disbursement not later than 2:00 p.m., New York City time, on the date that such L/C Disbursement is made, if the Borrower shall have received notice of such L/C Disbursement prior to 12:00 noon, New York City time, on such date, or, if such notice has not been received by the Borrower prior to such time on such date, then not later than 2:00 p.m., New York City time, on the Business Day immediately following the day that the Borrower receives such notice, if such notice is not received prior to such time on the day of receipt;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-788035</wp:posOffset>
            </wp:positionV>
            <wp:extent cx="9556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556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13" w:right="339" w:bottom="1440" w:gutter="0" w:footer="0" w:header="0"/>
        </w:sectPr>
      </w:pPr>
    </w:p>
    <w:bookmarkStart w:id="87" w:name="page88"/>
    <w:bookmarkEnd w:id="87"/>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conditions to borrowing set forth herein, request in accordance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that such payment be financed with an ABR Borrowing in an equivalent amount, to the extent so financed, the Borrower’s obligation to make such payment shall be discharged and replaced by the resulting ABR Borrowing. If the Borrower fails to make such payment when due, the Administrative Agent shall notify each Lender of the applicable L/C Disbursement, the payment then due from the Borrower in respect thereof and such Lender’s Percentage Interest thereof. Promptly following receipt of such notice, each Lender shall pay to the Administrative Agent its Percentage Interest of the payment then due from the Borrower, in the same manner as provided in this Agreement with respect to Loans made by such Lender, and the Administrative Agent shall promptly pay to the respective Issuing Lender the amounts so received by it from the Lenders. Promptly following receipt by the Administrative Agent of any payment from the Borrower pursuant to this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the Administrative Agent shall distribute such payment to the respective Issuing Lender or, to the extent that Lenders have made payments pursuant to this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to reimburse such Issuing Lender, then to such Lenders and such Issuing Lender as their interests may appear. Any payment made by a Lender pursuant to this to this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to reimburse an Issuing Lender for any L/C Disbursement (other than the funding of ABR Loans as contemplated above) shall not constitute a Loan and shall not relieve the Borrower of its obligation to reimburse such L/C Disbursement.</w:t>
      </w:r>
    </w:p>
    <w:p>
      <w:pPr>
        <w:spacing w:after="0" w:line="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3.7. Obligations Absolute. The Borrower’s obligation to reimburse L/C Disbursements as provided in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(ii) any draft or other document presented under a Letter of Credit proving to be forged, fraudulent or invalid in any respect or any statement therein being untrue or inaccurate in any respect,(iii) payment by the respective Issuing Lender under a Letter of Credit against presentation of a draft or other document that does not comply with the terms of such Letter of Credit or (iv) any other event or circumstance whatsoever, whether or not similar to any of the foregoing, that might, but for the provisions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constitute a legal or equitable discharge of, or provide a right of setoff against, the Borrower’s obligations hereunder. Neither the Administrative Agent, the Lenders nor any Issuing Lender,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respective Issuing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an Issuing Lender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Lender’s failure to exercise care when determining whether drafts and other documents presented under a Letter of Credit comply with the terms thereof. The parties hereto expressly agree that, in the absence of gross negligence or willful misconduct on the part of an Issuing Lender (as finally determined by a court of competent jurisdiction), such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-3500755</wp:posOffset>
            </wp:positionV>
            <wp:extent cx="13423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13" w:right="339" w:bottom="1440" w:gutter="0" w:footer="0" w:header="0"/>
        </w:sectPr>
      </w:pPr>
    </w:p>
    <w:bookmarkStart w:id="88" w:name="page89"/>
    <w:bookmarkEnd w:id="88"/>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3.8. Disbursement Procedures. The Issuing Lender for any Letter of Credit shall, within the time allowed by applicable law or the specific terms of the Letter of Credit following its receipt thereof, examine all documents purporting to represent a demand for payment under such Letter of Credit. Such Issuing Lender shall promptly after such examination notify the Administrative Agent and the Borrower by telephone (confirmed by telecopy or electronic mail) of such demand for payment if such Issuing Lender has made or will make an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delay in giving such notice shall not relieve the Borrower of its obligation to reimburse such Issuing Lender and the Lenders with respect to any such L/C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-781050</wp:posOffset>
            </wp:positionV>
            <wp:extent cx="14300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3.9. Interim Interest. If the Issuing Lender for any Letter of Credit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reimbursement is due and payable at the rate per annum then applicable to ABR Loans and such interest shall be due and payable on the date when such reimbursement is payable;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fails to reimburse such L/C Disbursement when due pursuant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then </w:t>
      </w:r>
      <w:r>
        <w:rPr>
          <w:rFonts w:ascii="Times New Roman" w:cs="Times New Roman" w:eastAsia="Times New Roman" w:hAnsi="Times New Roman"/>
          <w:sz w:val="20"/>
          <w:szCs w:val="20"/>
          <w:u w:val="single" w:color="auto"/>
          <w:color w:val="auto"/>
        </w:rPr>
        <w:t>Section 2.11(d)</w:t>
      </w:r>
      <w:r>
        <w:rPr>
          <w:rFonts w:ascii="Times New Roman" w:cs="Times New Roman" w:eastAsia="Times New Roman" w:hAnsi="Times New Roman"/>
          <w:sz w:val="20"/>
          <w:szCs w:val="20"/>
          <w:color w:val="auto"/>
        </w:rPr>
        <w:t xml:space="preserve"> shall apply. Interest accrued pursuant to this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shall be for the account of such Issuing Lender, except that interest accrued on and after the date of payment by any Lender pursuant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to reimburse such Issuing Lender for such L/C Disbursement shall be for the account of such Lender to the extent of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-1076960</wp:posOffset>
            </wp:positionV>
            <wp:extent cx="9461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3.10. Replacement and Resignation of an Issuing Lender1. . (i) An Issuing Lender may be replaced at any time by written agreement among the Borrower, the Administrative Agent, the replaced Issuing Lender and the successor Issuing Lender. The Administrative Agent shall notify the Lenders of any such replacement of an Issuing Lender. At the time any such replacement shall become effective, the Borrower shall pay all unpaid fees accrued for the account of the replaced Issuing Lender pursuant to this Agreement. From and after the effective date of any such replacement, (x) the successor Issuing Lender shall have all the rights and obligations of an Issuing Lender under this Agreement with respect to Letters of Credit to be issued by it thereafter and (y)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 or extend or otherwise amend any existing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-1387475</wp:posOffset>
            </wp:positionV>
            <wp:extent cx="28479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jc w:val="both"/>
        <w:ind w:firstLine="941"/>
        <w:spacing w:after="0" w:line="249" w:lineRule="auto"/>
        <w:tabs>
          <w:tab w:leader="none" w:pos="14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appointment and acceptance of a successor Issuing Lender, any Issuing Lender may resign as an Issuing Lender at any time upon thirty days’ prior written notice to the Administrative Agent, the Borrower and the Lenders, in which case, such resigning Issuing Lender shall be replaced in accordance with </w:t>
      </w:r>
      <w:r>
        <w:rPr>
          <w:rFonts w:ascii="Times New Roman" w:cs="Times New Roman" w:eastAsia="Times New Roman" w:hAnsi="Times New Roman"/>
          <w:sz w:val="20"/>
          <w:szCs w:val="20"/>
          <w:u w:val="single" w:color="auto"/>
          <w:color w:val="auto"/>
        </w:rPr>
        <w:t>Section 3.10(i)</w:t>
      </w:r>
      <w:r>
        <w:rPr>
          <w:rFonts w:ascii="Times New Roman" w:cs="Times New Roman" w:eastAsia="Times New Roman" w:hAnsi="Times New Roman"/>
          <w:sz w:val="20"/>
          <w:szCs w:val="20"/>
          <w:color w:val="auto"/>
        </w:rPr>
        <w:t xml:space="preserve"> above.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3.11. Cash Collateralization2. . If any Event of Default shall occur and be continuing, on the Business Day that the Borrower receives notice from the Administrative Agent or the Required Lenders demanding the deposit of cash collateral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the Borrower shall deposit in an account or accounts with the Administrative Agent, in the name of the Administrative Agent and for the benefit of the Lenders (the “</w:t>
      </w:r>
      <w:r>
        <w:rPr>
          <w:rFonts w:ascii="Times New Roman" w:cs="Times New Roman" w:eastAsia="Times New Roman" w:hAnsi="Times New Roman"/>
          <w:sz w:val="20"/>
          <w:szCs w:val="20"/>
          <w:u w:val="single" w:color="auto"/>
          <w:color w:val="auto"/>
        </w:rPr>
        <w:t>Collateral Account</w:t>
      </w:r>
      <w:r>
        <w:rPr>
          <w:rFonts w:ascii="Times New Roman" w:cs="Times New Roman" w:eastAsia="Times New Roman" w:hAnsi="Times New Roman"/>
          <w:sz w:val="20"/>
          <w:szCs w:val="20"/>
          <w:color w:val="auto"/>
        </w:rPr>
        <w:t xml:space="preserve">”), an amount in cash equal to 105% of the L/C Obligations as of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accrued and unpaid interest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20"/>
          <w:szCs w:val="20"/>
          <w:u w:val="single" w:color="auto"/>
          <w:color w:val="auto"/>
        </w:rPr>
        <w:t>Section 8(f)</w:t>
      </w:r>
      <w:r>
        <w:rPr>
          <w:rFonts w:ascii="Times New Roman" w:cs="Times New Roman" w:eastAsia="Times New Roman" w:hAnsi="Times New Roman"/>
          <w:sz w:val="20"/>
          <w:szCs w:val="20"/>
          <w:color w:val="auto"/>
        </w:rPr>
        <w:t xml:space="preserve">. Such deposit shall be held by the Administrative Agent as collateral for the payment and performance of the obligations of the Borrower under this Agreement. In addition, and without limiting the foregoing or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if any L/C Obligations remain outstanding after the expiration date specified in said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the Borrower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-1244600</wp:posOffset>
            </wp:positionV>
            <wp:extent cx="12884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8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13" w:right="339" w:bottom="1440" w:gutter="0" w:footer="0" w:header="0"/>
        </w:sectPr>
      </w:pPr>
    </w:p>
    <w:bookmarkStart w:id="89" w:name="page90"/>
    <w:bookmarkEnd w:id="89"/>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immediately deposit into the Collateral Account an amount in cash equal to 105% of such L/C Obligations as of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accrued and unpaid interest thereon.</w:t>
      </w: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each Issuing Lender for L/C Disbursements for which it has not been reimbursed, together with related fees, costs and customary processing charges, and, to the extent not so applied, shall be held for the satisfaction of the reimbursement obligations of the Borrower for the L/C Obligations at such time or, if the maturity of the Loans has been accelerated, be applied to satisfy other Obligations.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3.12. Letters of Credit Issued for Account of Subsidiaries3. .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Lender (whether arising by contract, at law, in equity or otherwise) against such Subsidiary in respect of such Letter of Credit,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-473075</wp:posOffset>
            </wp:positionV>
            <wp:extent cx="29051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05125" cy="8890"/>
                    </a:xfrm>
                    <a:prstGeom prst="rect">
                      <a:avLst/>
                    </a:prstGeom>
                    <a:noFill/>
                  </pic:spPr>
                </pic:pic>
              </a:graphicData>
            </a:graphic>
          </wp:anchor>
        </w:drawing>
      </w:r>
    </w:p>
    <w:p>
      <w:pPr>
        <w:jc w:val="both"/>
        <w:ind w:firstLine="8"/>
        <w:spacing w:after="0" w:line="247" w:lineRule="auto"/>
        <w:tabs>
          <w:tab w:leader="none" w:pos="24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reimburse, indemnify and compensate the applicable Issuing Lender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spacing w:after="0" w:line="5"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color w:val="auto"/>
        </w:rPr>
        <w:t>REPRESENTATIONS AND WARRANTIES</w:t>
      </w:r>
    </w:p>
    <w:p>
      <w:pPr>
        <w:spacing w:after="0" w:line="20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To induce the Administrative Agent, the Issuing Lender and the Lenders to enter into this Agreement and to make the Loans and issue or participate in the Letters of Credit, the Borrower hereby represents and warrants to the Administrative Agent, the Issuing Lender and each Lender that:</w:t>
      </w:r>
    </w:p>
    <w:p>
      <w:pPr>
        <w:spacing w:after="0" w:line="16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4.1. Financial Statement. Borrower has furnished to Lenders that are parties this Agreement on the Closing Date a copy of the Form 10-K of the Loan Parties and their Subsidiaries for the periods ended September 31, 2020 and September 30, 2021 and the Form 10-Q of Loan Parties and their Subsidiaries for the periods ended December 31, 2021, March 31, 2022 and June 30, 2022; it being understood that such financial statements filed with or furnished to the Securities and Exchange Commission by the Borrower (and which are available online on the SEC website, SEC.gov) shall be deemed to have been provided by the Borrower. The financial statements and the notes thereto included in such Form 10-Ks and such Form10-Qs fairly present in all material respects the consolidated financial position of Loan Parties and their Subsidiaries as at the dates specified therein and the consolidated results of operations and cash flows for the periods then ended, all in conformity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-1082040</wp:posOffset>
            </wp:positionV>
            <wp:extent cx="11868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4.2. No Material Adverse Change. There has been no material adverse change in the financial condition of Loan Parties and their Restricted Subsidiaries, taken as a whole, since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-179070</wp:posOffset>
            </wp:positionV>
            <wp:extent cx="16440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44015" cy="8890"/>
                    </a:xfrm>
                    <a:prstGeom prst="rect">
                      <a:avLst/>
                    </a:prstGeom>
                    <a:noFill/>
                  </pic:spPr>
                </pic:pic>
              </a:graphicData>
            </a:graphic>
          </wp:anchor>
        </w:drawing>
      </w: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4.3. Organization, Powers, and Capital Stock. Each of the Loan Parties (a) is a corporation, limited partnership or limited liability company (as applicable) duly organized or formed, validly existing and in good standing under laws of its state of incorporation or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-178435</wp:posOffset>
            </wp:positionV>
            <wp:extent cx="22110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110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(b) has the power and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13" w:right="339" w:bottom="1440" w:gutter="0" w:footer="0" w:header="0"/>
        </w:sectPr>
      </w:pPr>
    </w:p>
    <w:bookmarkStart w:id="90" w:name="page91"/>
    <w:bookmarkEnd w:id="90"/>
    <w:p>
      <w:pPr>
        <w:jc w:val="both"/>
        <w:spacing w:after="0" w:line="252" w:lineRule="auto"/>
        <w:rPr>
          <w:sz w:val="20"/>
          <w:szCs w:val="20"/>
          <w:color w:val="auto"/>
        </w:rPr>
      </w:pPr>
      <w:r>
        <w:rPr>
          <w:rFonts w:ascii="Times New Roman" w:cs="Times New Roman" w:eastAsia="Times New Roman" w:hAnsi="Times New Roman"/>
          <w:sz w:val="20"/>
          <w:szCs w:val="20"/>
          <w:color w:val="auto"/>
        </w:rPr>
        <w:t>to own or hold under lease the properties it purports to own or hold under lease and to carry on its business as now conducted, (c) is duly qualified or licensed to transact business in every jurisdiction in which such qualification or licensing is necessary to enable it to enforce all of its contracts and other rights and to avoid any penalty or forfeiture except in each case to the extent of omissions that would not have a Material Adverse Effect.</w:t>
      </w:r>
    </w:p>
    <w:p>
      <w:pPr>
        <w:spacing w:after="0" w:line="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color w:val="auto"/>
        </w:rPr>
        <w:t>Authorization; and Validity of this Agreement; Consents;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-24765</wp:posOffset>
            </wp:positionV>
            <wp:extent cx="32029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187" w:lineRule="exact"/>
        <w:rPr>
          <w:sz w:val="20"/>
          <w:szCs w:val="20"/>
          <w:color w:val="auto"/>
        </w:rPr>
      </w:pPr>
    </w:p>
    <w:p>
      <w:pPr>
        <w:jc w:val="both"/>
        <w:ind w:firstLine="1304"/>
        <w:spacing w:after="0" w:line="249" w:lineRule="auto"/>
        <w:tabs>
          <w:tab w:leader="none" w:pos="1751"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Loan Parties has the power and authority to execute and deliver this Agreement, the Notes, the Guarantee Agreement and the other Loan Documents to which it is a party and to perform all its obligations hereunder and thereunder. The execution and delivery by the Borrower of this Agreement and the Notes and by each of the Loan Parties of the Guarantee Agreement and the other Loan Documents to which it is a party and its performance of its obligations hereunder and thereunder and any and all actions taken by the Loan Parties (i) have been duly authorized by all requisite corporate action or other applicable limited partnership or limited liability company action, (ii) will not violate or be in conflict with (A) in any material respect, any provisions of law (including, without limitation, any applicable usury or similar law), (B) in any material respect, any order, rule, regulation, writ, judgment, injunction, decree or award of any court or other agency of government, or (C) any provision of its certificate of incorporation or by-laws, certificate of limited partnership or limited partnership agreement, or articles or certificate of formation or operating agreement (as applicable), (iii) will not violate, be in conflict with, result in a breach of or constitute (with or without the giving of notice or the passage of time or both) a default under any indenture, agreement or other instrument to which such Loan Party is a party or by which it or any of its properties or assets is or may be bound (including without limitation any indentures pursuant to which any debt Securities of the Borrower have been issued), except in each case where such violation, conflict or breach would not reasonably be expected to have a Material Adverse Effect, and (iv) except as otherwise contemplated by this Agreement, will not result in the creation or imposition of any lien, charge or encumbrance upon, or any security interest in, any of its properties or assets. Each of this Agreement, the Notes, the Guarantee Agreement and the other applicable Loan Documents has been duly executed and delivered by the applicable Loan Parties. The Loan Documents constitute legal, valid and binding obligations of the applicable Loan Parties enforceable against the applicable Loan Parties in accordance with their terms, except as enforceability may be limited by bankruptcy, insolvency or similar laws affecting the enforcement of creditors’ rights generally.</w:t>
      </w:r>
    </w:p>
    <w:p>
      <w:pPr>
        <w:spacing w:after="0" w:line="200" w:lineRule="exact"/>
        <w:rPr>
          <w:rFonts w:ascii="Times New Roman" w:cs="Times New Roman" w:eastAsia="Times New Roman" w:hAnsi="Times New Roman"/>
          <w:sz w:val="20"/>
          <w:szCs w:val="20"/>
          <w:color w:val="010000"/>
        </w:rPr>
      </w:pPr>
    </w:p>
    <w:p>
      <w:pPr>
        <w:jc w:val="both"/>
        <w:ind w:firstLine="1304"/>
        <w:spacing w:after="0" w:line="254" w:lineRule="auto"/>
        <w:tabs>
          <w:tab w:leader="none" w:pos="1785"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None of the Loan Parties nor any of their Subsidiaries is a party to any agreement or instrument or is subject to any charter or other restrictions that could reasonably be expected to have a Material Adverse Effect. None of the Loan Parties nor any of their Subsidiaries is in default in the performance, observance or fulfillment of any of the obligations, covenants or conditions contained in any agreement or instrument to which it is a party that could reasonably be expected to have a Material Adverse Effect.</w:t>
      </w:r>
    </w:p>
    <w:p>
      <w:pPr>
        <w:spacing w:after="0" w:line="187"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790"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order, license, consent, approval, authorization of, or registration, declaration, recording or filing (except for the filing of a Current Report on Form 8-K, and a Quarterly Report on Form 10-Q, in each case with the Securities and Exchange Commission) with, or validation of, or exemption by, any governmental or public authority (whether federal, state or local, domestic or foreign) or any subdivision thereof is required in connection with, or as a condition precedent to, the due and valid execution, delivery and performance by any Loan Party of the Credit Agreement, the Notes, the Guarantee Agreement or the other Loan Documents, or the legality, validity, binding effect or enforceability of any of the respective terms, provisions or conditions thereof. To the extent that any franchises, licenses, certificates, authorizations, approvals or consents from any federal, state or local (domestic or foreign) government, commission, bureau or agency are required for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13" w:right="339" w:bottom="1440" w:gutter="0" w:footer="0" w:header="0"/>
        </w:sectPr>
      </w:pPr>
    </w:p>
    <w:bookmarkStart w:id="91" w:name="page92"/>
    <w:bookmarkEnd w:id="91"/>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ownership, operation or maintenance by any Loan Party of properties now owned, operated or maintained by any of them, those franchises, licenses, certificates, authorizations, approvals and consents have been validly granted, are in full force and effect and constitute valid and sufficient authorization therefor, except in each case to the extent of omissions that would not have a Material Adverse Effect.</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4.5. Compliance with Laws and Other Requirements. The Loan Parties and their Subsidiaries are in compliance with and conform to all statutes, laws, ordinances, rules, regulations, orders, restrictions and all other legal requirements of all domestic or foreign governments or any instrumentality thereof having jurisdiction over the conduct of their respective businesses or the ownership of their respective properties, the violation of which would have a Material Adverse Effect on it, including, without limitation, Environmental Laws, regulations of the Board, the Federal Interstate Land Sales Full Disclosure Act, the Florida Land Sales Act or any comparable statute in any other applicable jurisdiction. None of the Loan Parties nor any of their Subsidiaries has received any notice to the effect that its operations are not in compliance with any of the requirements of applicable Environmental Laws or any applicable federal, state and local health and safety statutes and regulations or the subject of any federal or state investigation evaluating whether any remedial action is needed to respond to a release of any Hazardous Substances into the environment, which non-compliance or remedial action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-1379855</wp:posOffset>
            </wp:positionV>
            <wp:extent cx="25850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85085" cy="8890"/>
                    </a:xfrm>
                    <a:prstGeom prst="rect">
                      <a:avLst/>
                    </a:prstGeom>
                    <a:noFill/>
                  </pic:spPr>
                </pic:pic>
              </a:graphicData>
            </a:graphic>
          </wp:anchor>
        </w:drawing>
      </w: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4.6. Litigation. Except as disclosed in Borrower’s Current Reports on Form 8-K, quarterly reports on Form 10-Q or Annual Reports on Form 10-K, there is no action, suit, Proceeding, arbitration, inquiry or investigation (whether or not purportedly on behalf of the Borrower or any of its Subsidiaries) pending or, to the best knowledge of the Borrower, threatened (in writing) against or affecting the Loan Parties or any of their Subsidiaries (a) with respect to this Agreement, the Notes, the Guarantee Agreement, any other Loan Document or the transactions contemplated hereby or (b) which could reasonably be expected to have a Material Adverse Effect. None of the Loan Parties nor any of their Subsidiaries is in default with respect to any final judgment, writ, injunction, decree, rule or regulation of any court or federal, state, municipal or other governmental department, commission, board, bureau, agency or instrumentality, domestic or foreign, which default would or could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-1076960</wp:posOffset>
            </wp:positionV>
            <wp:extent cx="6210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1030" cy="8890"/>
                    </a:xfrm>
                    <a:prstGeom prst="rect">
                      <a:avLst/>
                    </a:prstGeom>
                    <a:noFill/>
                  </pic:spPr>
                </pic:pic>
              </a:graphicData>
            </a:graphic>
          </wp:anchor>
        </w:drawing>
      </w: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9"/>
          <w:szCs w:val="19"/>
          <w:color w:val="auto"/>
        </w:rPr>
        <w:t>No Default. No event has occurred and is continuing that is a Default or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-24765</wp:posOffset>
            </wp:positionV>
            <wp:extent cx="6870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7070" cy="8255"/>
                    </a:xfrm>
                    <a:prstGeom prst="rect">
                      <a:avLst/>
                    </a:prstGeom>
                    <a:noFill/>
                  </pic:spPr>
                </pic:pic>
              </a:graphicData>
            </a:graphic>
          </wp:anchor>
        </w:drawing>
      </w: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4.8. Title to Properties. Each of the Loan Parties has good and marketable fee title, or title insurable by a reputable and nationally recognized title insurance company, to the Real Property Inventory owned by it, and to all the other assets owned by it and either reflected on the balance sheet and related notes and schedules most recently delivered by the Borrower to the Lenders (the “</w:t>
      </w:r>
      <w:r>
        <w:rPr>
          <w:rFonts w:ascii="Times New Roman" w:cs="Times New Roman" w:eastAsia="Times New Roman" w:hAnsi="Times New Roman"/>
          <w:sz w:val="20"/>
          <w:szCs w:val="20"/>
          <w:u w:val="single" w:color="auto"/>
          <w:color w:val="auto"/>
        </w:rPr>
        <w:t>Recent Balance Sheet</w:t>
      </w:r>
      <w:r>
        <w:rPr>
          <w:rFonts w:ascii="Times New Roman" w:cs="Times New Roman" w:eastAsia="Times New Roman" w:hAnsi="Times New Roman"/>
          <w:sz w:val="20"/>
          <w:szCs w:val="20"/>
          <w:color w:val="auto"/>
        </w:rPr>
        <w:t>”) or acquired by it after the date of that balance sheet and prior to the date hereof, except for those properties and assets which have been disposed of since the date of the Recent Balance Sheet or which no longer are used or useful in the conduct of its business or which are classified as real estate not owned under GAAP. All such Real Property Inventory and other assets owned by the Loan Parties are free and clear of all mortgages, Liens, charges and other encumbrances (other than Permitted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-930910</wp:posOffset>
            </wp:positionV>
            <wp:extent cx="10515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4.9. Tax Liability. The Loan Parties and their respective Subsidiaries have filed all federal, state and other tax returns and reports required to be filed, and have paid all federal, state and other taxes, assessments, fees and other governmental charges levied or imposed upon them or their properties, income or assets otherwise due and payable, except (a) Taxes that are being contested in good faith by appropriate Proceedings diligently conducted and for which adequate reserves are being maintained in accordance with GAAP or (b) to the extent that the failure to do so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-642620</wp:posOffset>
            </wp:positionV>
            <wp:extent cx="7994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13" w:right="339" w:bottom="1440" w:gutter="0" w:footer="0" w:header="0"/>
        </w:sectPr>
      </w:pPr>
    </w:p>
    <w:bookmarkStart w:id="92" w:name="page93"/>
    <w:bookmarkEnd w:id="92"/>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4.10.</w:t>
      </w:r>
      <w:r>
        <w:rPr>
          <w:sz w:val="20"/>
          <w:szCs w:val="20"/>
          <w:color w:val="auto"/>
        </w:rPr>
        <w:tab/>
      </w:r>
      <w:r>
        <w:rPr>
          <w:rFonts w:ascii="Times New Roman" w:cs="Times New Roman" w:eastAsia="Times New Roman" w:hAnsi="Times New Roman"/>
          <w:sz w:val="19"/>
          <w:szCs w:val="19"/>
          <w:color w:val="auto"/>
        </w:rPr>
        <w:t>Regulations U and X;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-10795</wp:posOffset>
            </wp:positionV>
            <wp:extent cx="25400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40000" cy="8255"/>
                    </a:xfrm>
                    <a:prstGeom prst="rect">
                      <a:avLst/>
                    </a:prstGeom>
                    <a:noFill/>
                  </pic:spPr>
                </pic:pic>
              </a:graphicData>
            </a:graphic>
          </wp:anchor>
        </w:drawing>
      </w:r>
    </w:p>
    <w:p>
      <w:pPr>
        <w:spacing w:after="0" w:line="8" w:lineRule="exact"/>
        <w:rPr>
          <w:sz w:val="20"/>
          <w:szCs w:val="20"/>
          <w:color w:val="auto"/>
        </w:rPr>
      </w:pPr>
    </w:p>
    <w:p>
      <w:pPr>
        <w:jc w:val="both"/>
        <w:ind w:firstLine="1304"/>
        <w:spacing w:after="0" w:line="248" w:lineRule="auto"/>
        <w:tabs>
          <w:tab w:leader="none" w:pos="1821"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Borrower nor any other Loan Party is engaged principally, or as one of its important activities, in the business of extending credit for the purpose of purchasing or carrying any margin stock (within the meaning of Regulation U or Regulation X of the Board). Margin stock (as defined in Regulation U) constitutes less than 25% of those assets of the Loan Parties and their Subsidiaries on a consolidated basis which are subject to any limitation on sale, pledge, or other restriction hereunder.</w:t>
      </w:r>
    </w:p>
    <w:p>
      <w:pPr>
        <w:spacing w:after="0" w:line="195"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57"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part of the proceeds of any extensions of credit hereunder will be used to purchase or carry any such margin stock or to extend credit to others for the purpose of purchasing or carrying any such margin stock. If requested by the Lenders, the Borrower shall furnish to the Lenders a statement in conformity with the requirements of Federal Reserve Form U-1 referred to in Regulation U of said Board. No part of the proceeds of any extensions of credit hereunder will be used for any purpose that violates, or which is inconsistent with, the provisions of Regulation X of said Board of Governors.</w:t>
      </w:r>
    </w:p>
    <w:p>
      <w:pPr>
        <w:spacing w:after="0" w:line="191" w:lineRule="exact"/>
        <w:rPr>
          <w:rFonts w:ascii="Times New Roman" w:cs="Times New Roman" w:eastAsia="Times New Roman" w:hAnsi="Times New Roman"/>
          <w:sz w:val="20"/>
          <w:szCs w:val="20"/>
          <w:color w:val="010000"/>
        </w:rPr>
      </w:pPr>
    </w:p>
    <w:p>
      <w:pPr>
        <w:ind w:firstLine="1304"/>
        <w:spacing w:after="0" w:line="283" w:lineRule="auto"/>
        <w:tabs>
          <w:tab w:leader="none" w:pos="1770"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None of the Loan Parties nor any of their Subsidiaries is an “investment company” or a company “controlled” by an “investment company” within the meaning of the Investment Company Act of 1940, as amended.</w:t>
      </w:r>
    </w:p>
    <w:p>
      <w:pPr>
        <w:spacing w:after="0" w:line="14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19"/>
          <w:szCs w:val="19"/>
          <w:color w:val="auto"/>
        </w:rPr>
        <w:t>ERISA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-10795</wp:posOffset>
            </wp:positionV>
            <wp:extent cx="11271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spacing w:after="0" w:line="8" w:lineRule="exact"/>
        <w:rPr>
          <w:sz w:val="20"/>
          <w:szCs w:val="20"/>
          <w:color w:val="auto"/>
        </w:rPr>
      </w:pPr>
    </w:p>
    <w:p>
      <w:pPr>
        <w:jc w:val="both"/>
        <w:ind w:firstLine="1304"/>
        <w:spacing w:after="0" w:line="248" w:lineRule="auto"/>
        <w:tabs>
          <w:tab w:leader="none" w:pos="1824"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Plan is in compliance in all material respects with the application provisions of ERISA, the Code and other Federal or state laws. Except as could not reasonably be expected to result in a Material Adverse Effect, (i) each Plan that is intended to qualify under Section 401(a) of the Code has received a favorable determination letter from the IRS or an application for such a letter is currently being processed by the IRS with respect thereto and, to the best knowledge of the Borrower, nothing has occurred which would prevent, or cause the loss of, such qualification, and (ii) each Loan Party and each ERISA Affiliate has made all required contributions to each Plan subject to Section 412 of the Code, and no application for a funding waiver or an extension of any amortization period pursuant to Section 412 of the Code has been made with respect to any Plan.</w:t>
      </w:r>
    </w:p>
    <w:p>
      <w:pPr>
        <w:spacing w:after="0" w:line="197"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28"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72"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36"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could not reasonably be expected to result in a Material Adverse Effect, (i) no ERISA Event has occurred or is reasonably expected to occur; (ii) no Plan has any Unfunded Pension Liability; (iii) no Loan Party nor any ERISA Affiliate has incurred, or reasonably expects to incur, any liability under Title IV of ERISA with respect to any Plan (other than premiums due and not delinquent under Section 4007 of ERISA); (iv) no Loan Party nor any ERISA Affiliate has incurred, or reasonably expects to incur, any liability (and no event has occurred which, with the giving of notice under Section 4219 of ERISA, would result in such liability) under Sections 4201 of ERISA with respect to a Multiemployer Plan; and (v) no Loan Party nor any ERISA Affiliate has engaged in a transaction that could be subject to Sections 4069 or 4212(c) of ERISA.</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4.12. Subsidiaries; Joint Ventures. As of the Closing Date, </w:t>
      </w:r>
      <w:r>
        <w:rPr>
          <w:rFonts w:ascii="Times New Roman" w:cs="Times New Roman" w:eastAsia="Times New Roman" w:hAnsi="Times New Roman"/>
          <w:sz w:val="20"/>
          <w:szCs w:val="20"/>
          <w:u w:val="single" w:color="auto"/>
          <w:color w:val="auto"/>
        </w:rPr>
        <w:t>Schedule 4.12</w:t>
      </w:r>
      <w:r>
        <w:rPr>
          <w:rFonts w:ascii="Times New Roman" w:cs="Times New Roman" w:eastAsia="Times New Roman" w:hAnsi="Times New Roman"/>
          <w:sz w:val="20"/>
          <w:szCs w:val="20"/>
          <w:color w:val="auto"/>
        </w:rPr>
        <w:t xml:space="preserve"> contains a complete and accurate list of (a) all Subsidiaries of the Borrower, including, with respect to each Subsidiary, (i) its state of incorporation, (ii) all jurisdictions (if any) in which it is qualified as a foreign corporation, (iii)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-354330</wp:posOffset>
            </wp:positionV>
            <wp:extent cx="16846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84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13" w:right="339" w:bottom="1440" w:gutter="0" w:footer="0" w:header="0"/>
        </w:sectPr>
      </w:pPr>
    </w:p>
    <w:bookmarkStart w:id="93" w:name="page94"/>
    <w:bookmarkEnd w:id="93"/>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number of shares of its Capital Stock outstanding, and (iv) the number and percentage of its shares owned by the Borrower and/or by any other Subsidiary, and (b) each Joint Venture, including, with respect to each such Joint Venture, (i) its jurisdiction of organization, (ii) all other jurisdictions in which it is qualified as a foreign entity and (iii) the number and percentage of its shares of Capital Stock owned by the Borrower and/or by any other Subsidiary. All the outstanding shares of Capital Stock of each Subsidiary of the Borrower are validly issued, fully paid and non-assessable, except as otherwise provided by state wage claim laws of general applicability. All of the outstanding shares of Capital Stock of each Subsidiary owned by the Borrower or another Subsidiary as specified in </w:t>
      </w:r>
      <w:r>
        <w:rPr>
          <w:rFonts w:ascii="Times New Roman" w:cs="Times New Roman" w:eastAsia="Times New Roman" w:hAnsi="Times New Roman"/>
          <w:sz w:val="20"/>
          <w:szCs w:val="20"/>
          <w:u w:val="single" w:color="auto"/>
          <w:color w:val="auto"/>
        </w:rPr>
        <w:t>Schedule 4.12</w:t>
      </w:r>
      <w:r>
        <w:rPr>
          <w:rFonts w:ascii="Times New Roman" w:cs="Times New Roman" w:eastAsia="Times New Roman" w:hAnsi="Times New Roman"/>
          <w:sz w:val="20"/>
          <w:szCs w:val="20"/>
          <w:color w:val="auto"/>
        </w:rPr>
        <w:t xml:space="preserve"> are owned free and clear of all Liens, security interests, equity or other beneficial interests, charges and encumbrances of any kind whatsoever, except for Permitted Liens. Neither the Borrower nor any other Loan Party owns of record or beneficially any shares of the Capital Stock or other equity interests of any Subsidiary that is not a Guarantor, except Excluded Subsidiaries.</w:t>
      </w:r>
    </w:p>
    <w:p>
      <w:pPr>
        <w:spacing w:after="0" w:line="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4.13. Environmental Compliance. No Hazardous Substances in violation of any Environmental Laws, or in amount or condition that would reasonably be expected to result in liability under any Environmental Laws, are present upon any of the Real Property Inventory owned by any of the Loan Parties or any of their Subsidiaries or any Real Property Inventory which is encumbered by any mortgage held by any of the Loan Parties or any of their Subsidiaries, and none of the Loan Parties nor any of their Subsidiaries has received any notice to the effect that any of the Real Property Inventory owned by any of the Loan Parties or any of their Subsidiaries or any of their respective operations are not in compliance with any of the requirements of applicable Environmental Laws or are the subject of any action, suit, Proceeding relating to any remedial action, or any federal or state investigation evaluating whether any remedial action is needed, to respond to a release of any Hazardous Substance into the environment which non-compliance, presence or remedial action could be reasonably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-1236980</wp:posOffset>
            </wp:positionV>
            <wp:extent cx="15621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62100" cy="8255"/>
                    </a:xfrm>
                    <a:prstGeom prst="rect">
                      <a:avLst/>
                    </a:prstGeom>
                    <a:noFill/>
                  </pic:spPr>
                </pic:pic>
              </a:graphicData>
            </a:graphic>
          </wp:anchor>
        </w:drawing>
      </w: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4.14. No Misrepresentation. No representation or warranty by any Loan Party made under this Agreement and no certificate, schedule, exhibit, report or other document provided or to be provided by any Loan Party in connection with the transactions contemplated hereby or thereby (including, without limitation, the negotiation of and compliance with the Loan Documents) contains or will contain, when taken as a whole, a misstatement of a material fact or omit to state a material fact required to be stated therein in order to make the statements contained therein, in the light of the circumstances under which made, not materially misleading (after giving effect to all supplements and updates thereto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management projections, budgets, estimates and other forward-looking information, the Borrower represents only that such information was prepared in good faith based upon assumptions believed to be reasonable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-1076960</wp:posOffset>
            </wp:positionV>
            <wp:extent cx="13036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4.15.</w:t>
      </w:r>
      <w:r>
        <w:rPr>
          <w:sz w:val="20"/>
          <w:szCs w:val="20"/>
          <w:color w:val="auto"/>
        </w:rPr>
        <w:tab/>
      </w:r>
      <w:r>
        <w:rPr>
          <w:rFonts w:ascii="Times New Roman" w:cs="Times New Roman" w:eastAsia="Times New Roman" w:hAnsi="Times New Roman"/>
          <w:sz w:val="19"/>
          <w:szCs w:val="19"/>
          <w:color w:val="auto"/>
        </w:rPr>
        <w:t>Solvent. Loan Parties and their Subsidiaries on a consolidated basis are Solvent.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-24765</wp:posOffset>
            </wp:positionV>
            <wp:extent cx="5092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9270" cy="8890"/>
                    </a:xfrm>
                    <a:prstGeom prst="rect">
                      <a:avLst/>
                    </a:prstGeom>
                    <a:noFill/>
                  </pic:spPr>
                </pic:pic>
              </a:graphicData>
            </a:graphic>
          </wp:anchor>
        </w:drawing>
      </w: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4.16. Foreign Direct Investment Regulations. Neither the making of the Loans or advances of credit nor the repayment thereof nor any other transaction contemplated hereby will involve or constitute a violation by any Loan Party of any provision of the Foreign Direct Investment Regulations of the United States Department of Commerce or of any license, ruling, order, or direction of the Secretary of Commerce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-478155</wp:posOffset>
            </wp:positionV>
            <wp:extent cx="2108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4.17. Relationship of the Loan Parties. The Loan Parties are engaged as an integrated group in the business of owning, developing and selling Real Property Inventory and of providing the required services, credit and other facilities for those integrated operations. The Loan Parties require financing on such a basis that funds can be made available from time to time to such entities, to the extent required for the continued successful operation of their integrated operations. The Loans and other advances of credit to be made to the Borrower under this Agreement are for the purpose of financing the integrated operations of the Loan Parties, and the Loan Parties expect to derive benefit, directly or indirectly, from the Loans and other advances, both individually and as a member of the integrated group, since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-788035</wp:posOffset>
            </wp:positionV>
            <wp:extent cx="17703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70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13" w:right="339" w:bottom="1440" w:gutter="0" w:footer="0" w:header="0"/>
        </w:sectPr>
      </w:pPr>
    </w:p>
    <w:bookmarkStart w:id="94" w:name="page95"/>
    <w:bookmarkEnd w:id="94"/>
    <w:p>
      <w:pPr>
        <w:jc w:val="both"/>
        <w:spacing w:after="0" w:line="258" w:lineRule="auto"/>
        <w:rPr>
          <w:sz w:val="20"/>
          <w:szCs w:val="20"/>
          <w:color w:val="auto"/>
        </w:rPr>
      </w:pPr>
      <w:r>
        <w:rPr>
          <w:rFonts w:ascii="Times New Roman" w:cs="Times New Roman" w:eastAsia="Times New Roman" w:hAnsi="Times New Roman"/>
          <w:sz w:val="20"/>
          <w:szCs w:val="20"/>
          <w:color w:val="auto"/>
        </w:rPr>
        <w:t>financial success of the operations of the Loan Parties is dependent upon the continued successful performance of the integrated group as a whole.</w:t>
      </w: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4.18. Insurance. The properties of the Loan Parties and their Subsidiaries are insured with financially sound and reputable insurance companies, in such amounts, with such deductibles and covering such risks as are customarily carried by companies engaged in similar businesses and owning similar properties in localities where the Loan Parties and their Subsidiaries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-327660</wp:posOffset>
            </wp:positionV>
            <wp:extent cx="7080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8025" cy="8255"/>
                    </a:xfrm>
                    <a:prstGeom prst="rect">
                      <a:avLst/>
                    </a:prstGeom>
                    <a:noFill/>
                  </pic:spPr>
                </pic:pic>
              </a:graphicData>
            </a:graphic>
          </wp:anchor>
        </w:drawing>
      </w: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4.19. Foreign Asset Control Regulations. Neither the execution and delivery of the Loan Documents by Borrower or any Loan Party nor the use of the proceeds of any Loan or any extension of credit, will violate the Trading with the Enemy Act, as amended, or any of the foreign assets control regulations of the United States Treasury Department (31 CFR, Subtitle B, Chapter V, as amended) or the Anti-Terrorism Order or any enabling legislation or executive order relating to any of the same. Without limiting the generality of the foregoing, none of the Borrower, any Loan Party nor any of their respective subsidiaries (a) are or will become a blocked person described in Section 1 of the Anti-Terrorism Order or (b) engage or will engage in any dealings or transactions or be otherwise associated with any such blocked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-930910</wp:posOffset>
            </wp:positionV>
            <wp:extent cx="19596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59610" cy="8890"/>
                    </a:xfrm>
                    <a:prstGeom prst="rect">
                      <a:avLst/>
                    </a:prstGeom>
                    <a:noFill/>
                  </pic:spPr>
                </pic:pic>
              </a:graphicData>
            </a:graphic>
          </wp:anchor>
        </w:drawing>
      </w: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4.20. Intellectual Property; Licenses, Etc. The Borrower and its Restricted Subsidiaries own, or possess the right to use, all of the trademarks, service marks, trade names, copyrights, patents, patent rights, franchises, licenses and other intellectual property rights (collectively, “</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that are reasonably necessary for the operation of their respective businesses, without conflict with the rights of any other Person. No claim has been asserted and is pending against the Borrower or any of its Restricted Subsidiaries challenging or questioning the ownership, use, validity or enforceability of any such IP Rights, except as would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-780415</wp:posOffset>
            </wp:positionV>
            <wp:extent cx="1965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65325" cy="8255"/>
                    </a:xfrm>
                    <a:prstGeom prst="rect">
                      <a:avLst/>
                    </a:prstGeom>
                    <a:noFill/>
                  </pic:spPr>
                </pic:pic>
              </a:graphicData>
            </a:graphic>
          </wp:anchor>
        </w:drawing>
      </w: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4.21. Subordinated Debt. The Obligations constitute senior indebtedness which is entitled to the benefits of the subordination provisions of all outstanding Subordinated Debt, which outstanding Subordinated Debt as of the Closing Date is identified in </w:t>
      </w:r>
      <w:r>
        <w:rPr>
          <w:rFonts w:ascii="Times New Roman" w:cs="Times New Roman" w:eastAsia="Times New Roman" w:hAnsi="Times New Roman"/>
          <w:sz w:val="20"/>
          <w:szCs w:val="20"/>
          <w:u w:val="single" w:color="auto"/>
          <w:color w:val="auto"/>
        </w:rPr>
        <w:t>Schedule 4.21</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-173990</wp:posOffset>
            </wp:positionV>
            <wp:extent cx="11569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4.22. Anti-Corruption Laws and Sanctions.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directors and, to the knowledge of the Borrower, its employees and agents, are in compliance with Anti-Corruption Laws and applicable Sanctions in all material respects. None of (a) the Borrower, any Subsidiary or any of their respective directors, officers or employees, or (b) to the knowledge of the Borrower, any agent of the Borrower or any Subsidiary that will act in any capacity in connection with or benefit from the credit facility established hereby, is a Sanctioned Person. No Loan or Letter of Credit, use of proceeds or other transaction contemplated by this Agreement will violate Anti-Corruption Laws or applicable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-1082040</wp:posOffset>
            </wp:positionV>
            <wp:extent cx="21431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4.23. Disclosure. As of the Closing Date, the information included in the Beneficial Ownership Certification provided by Borrower to the Administrative Agent or any Lender is true and correct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-173990</wp:posOffset>
            </wp:positionV>
            <wp:extent cx="6629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2940" cy="8255"/>
                    </a:xfrm>
                    <a:prstGeom prst="rect">
                      <a:avLst/>
                    </a:prstGeom>
                    <a:noFill/>
                  </pic:spPr>
                </pic:pic>
              </a:graphicData>
            </a:graphic>
          </wp:anchor>
        </w:drawing>
      </w: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4.24.</w:t>
      </w:r>
      <w:r>
        <w:rPr>
          <w:sz w:val="20"/>
          <w:szCs w:val="20"/>
          <w:color w:val="auto"/>
        </w:rPr>
        <w:tab/>
      </w:r>
      <w:r>
        <w:rPr>
          <w:rFonts w:ascii="Times New Roman" w:cs="Times New Roman" w:eastAsia="Times New Roman" w:hAnsi="Times New Roman"/>
          <w:sz w:val="19"/>
          <w:szCs w:val="19"/>
          <w:color w:val="auto"/>
        </w:rPr>
        <w:t>Affected Financial Institution. No Loan Party is an Affected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-20320</wp:posOffset>
            </wp:positionV>
            <wp:extent cx="16027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ind w:left="3800"/>
        <w:spacing w:after="0"/>
        <w:tabs>
          <w:tab w:leader="none" w:pos="502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color w:val="auto"/>
        </w:rPr>
        <w:t>CONDITIONS PRECEDENT</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5.1. Conditions to Initial Extension of Credit. The effectiveness of this Agreement the agreement of each Lender (including the Issuing Lenders) to make the initial extension of credit requested to be made by it is subject to the satisfaction, prior to or concurrently with the making of such extension of credit on the Closing Date, of the following 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-328295</wp:posOffset>
            </wp:positionV>
            <wp:extent cx="22561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56155" cy="8255"/>
                    </a:xfrm>
                    <a:prstGeom prst="rect">
                      <a:avLst/>
                    </a:prstGeom>
                    <a:noFill/>
                  </pic:spPr>
                </pic:pic>
              </a:graphicData>
            </a:graphic>
          </wp:anchor>
        </w:drawing>
      </w:r>
    </w:p>
    <w:p>
      <w:pPr>
        <w:jc w:val="both"/>
        <w:ind w:firstLine="1304"/>
        <w:spacing w:after="0" w:line="253" w:lineRule="auto"/>
        <w:tabs>
          <w:tab w:leader="none" w:pos="1767"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Credit Agreement; Guarantee and Notes</w:t>
      </w:r>
      <w:r>
        <w:rPr>
          <w:rFonts w:ascii="Times New Roman" w:cs="Times New Roman" w:eastAsia="Times New Roman" w:hAnsi="Times New Roman"/>
          <w:sz w:val="20"/>
          <w:szCs w:val="20"/>
          <w:color w:val="auto"/>
        </w:rPr>
        <w:t xml:space="preserve">. The Administrative Agent shall have received (i) this Agreement, executed and delivered by the Borrower and each Lender listed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which shall be in full force and effect, (ii) the Guarantee Agreement, executed and delivered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13" w:right="339" w:bottom="1440" w:gutter="0" w:footer="0" w:header="0"/>
        </w:sectPr>
      </w:pPr>
    </w:p>
    <w:bookmarkStart w:id="95" w:name="page96"/>
    <w:bookmarkEnd w:id="95"/>
    <w:p>
      <w:pPr>
        <w:spacing w:after="0" w:line="283" w:lineRule="auto"/>
        <w:rPr>
          <w:sz w:val="20"/>
          <w:szCs w:val="20"/>
          <w:color w:val="auto"/>
        </w:rPr>
      </w:pPr>
      <w:r>
        <w:rPr>
          <w:rFonts w:ascii="Times New Roman" w:cs="Times New Roman" w:eastAsia="Times New Roman" w:hAnsi="Times New Roman"/>
          <w:sz w:val="20"/>
          <w:szCs w:val="20"/>
          <w:color w:val="auto"/>
        </w:rPr>
        <w:t>each Guarantor, which shall be in full force and effect, and (iii) Notes, if requested, payable to each requesting Lender and its registered assigns, which shall be in full force and effect.</w:t>
      </w:r>
    </w:p>
    <w:p>
      <w:pPr>
        <w:spacing w:after="0" w:line="146" w:lineRule="exact"/>
        <w:rPr>
          <w:sz w:val="20"/>
          <w:szCs w:val="20"/>
          <w:color w:val="auto"/>
        </w:rPr>
      </w:pPr>
    </w:p>
    <w:p>
      <w:pPr>
        <w:jc w:val="both"/>
        <w:ind w:firstLine="1304"/>
        <w:spacing w:after="0" w:line="258" w:lineRule="auto"/>
        <w:tabs>
          <w:tab w:leader="none" w:pos="1792"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The Lenders shall have received (i) Form 10-K for the Borrower and its Subsidiaries filed for each of the fiscal years ended September 30, 2020 and September 30, 2021 (which financial statements shall be deemed delivered when filed with the SEC) and (ii) Form 10-Q for the Borrower and its Subsidiaries filed for each of the fiscal quarters ended December 31, 2021, March 31, 2022 and June 30, 2022 (which financial statements shall be deemed delivered when filed with the SEC).</w:t>
      </w:r>
    </w:p>
    <w:p>
      <w:pPr>
        <w:spacing w:after="0" w:line="185"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27"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Lenders, the Arrangers and the Administrative Agent shall have received all fees required to be paid, and all expenses for which invoices have been presented (including the reasonable fees and expenses of legal counsel to the Administrative Agent) on or before the Closing Date.</w:t>
      </w:r>
    </w:p>
    <w:p>
      <w:pPr>
        <w:spacing w:after="0" w:line="167" w:lineRule="exact"/>
        <w:rPr>
          <w:rFonts w:ascii="Times New Roman" w:cs="Times New Roman" w:eastAsia="Times New Roman" w:hAnsi="Times New Roman"/>
          <w:sz w:val="20"/>
          <w:szCs w:val="20"/>
          <w:color w:val="010000"/>
        </w:rPr>
      </w:pPr>
    </w:p>
    <w:p>
      <w:pPr>
        <w:jc w:val="both"/>
        <w:ind w:firstLine="1304"/>
        <w:spacing w:after="0" w:line="249" w:lineRule="auto"/>
        <w:tabs>
          <w:tab w:leader="none" w:pos="1751"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Closing Certificate; Certified Certificate of Incorporation; Good Standing Certificates</w:t>
      </w:r>
      <w:r>
        <w:rPr>
          <w:rFonts w:ascii="Times New Roman" w:cs="Times New Roman" w:eastAsia="Times New Roman" w:hAnsi="Times New Roman"/>
          <w:sz w:val="20"/>
          <w:szCs w:val="20"/>
          <w:color w:val="auto"/>
        </w:rPr>
        <w:t>. The Administrative Agent shall have received following supporting documents with respect to the Borrower and the other Loan Parties: (i) a copy of its certificate or articles of incorporation, formation, organization or certificate of limited partnership (as applicable) certified as of a date reasonably close to the Closing Date to be a true and accurate copy by the Secretary of State (or similar governmental authority) of its state of incorporation or formation; (ii) a certificate of that Secretary of State (or similar governmental authority), dated as of a date reasonably close to the Closing Date, as to its existence and (if available) good standing; (iii) a certificate of the Secretary of State (or similar governmental authority) of each jurisdiction, other than its state of incorporation or formation, in which it is qualified as a foreign corporation, limited liability company or other entity (as applicable), as to such qualification, unless any failure to be so qualified in such jurisdiction could not reasonably be expected to result in a Material Adverse Effect; (iv) a copy of its by-laws, partnership agreement or operating agreement (as applicable), certified by its secretary or assistant secretary, general partner, manager or other appropriate Person (as applicable) to be a true and accurate copy of its by-laws, partnership agreement or operating agreement (as applicable) in effect on the Closing Date; (v) a certificate of its secretary or assistant secretary, general partner, manager or other appropriate Person (as applicable), as to the incumbency and signatures of its officers or other Persons who have executed any documents on behalf of such Loan Party in connection with the transactions contemplated by this Agreement; (vi) a copy of resolutions of its Board of Directors, certified by its secretary or assistant secretary to be a true and accurate copy of resolutions duly adopted by such Board of Directors, or other appropriate resolutions or consents of, its partners or members certified by its general partner or manager (as applicable) to be true and correct copies thereof duly adopted, approved or otherwise delivered by its partners or members (to the extent necessary and applicable), each of which is certified to be in full force and effect on the Closing Date, authorizing the execution and delivery by it of this Agreement and any Notes, Guarantee Agreement and other Loan Documents delivered on the Closing Date to which it is a party and the performance by it of all its obligations thereunder; and (vii) such additional supporting documents and other information with respect to its operations and affairs as the Administrative Agent may reasonably request.</w:t>
      </w:r>
    </w:p>
    <w:p>
      <w:pPr>
        <w:spacing w:after="0" w:line="200"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54"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Legal Opinions</w:t>
      </w:r>
      <w:r>
        <w:rPr>
          <w:rFonts w:ascii="Times New Roman" w:cs="Times New Roman" w:eastAsia="Times New Roman" w:hAnsi="Times New Roman"/>
          <w:sz w:val="20"/>
          <w:szCs w:val="20"/>
          <w:color w:val="auto"/>
        </w:rPr>
        <w:t xml:space="preserve">. The Administrative Agent shall have received a favorable legal opinion of (i) King &amp; Spalding LLP, counsel to the Borrower and its Subsidiaries and (ii) </w:t>
      </w:r>
      <w:r>
        <w:rPr>
          <w:rFonts w:ascii="Times New Roman" w:cs="Times New Roman" w:eastAsia="Times New Roman" w:hAnsi="Times New Roman"/>
          <w:sz w:val="20"/>
          <w:szCs w:val="20"/>
          <w:color w:val="FF0000"/>
          <w:strike w:val="1"/>
        </w:rPr>
        <w:t>Keith L. Belknap</w:t>
      </w:r>
      <w:r>
        <w:rPr>
          <w:rFonts w:ascii="Times New Roman" w:cs="Times New Roman" w:eastAsia="Times New Roman" w:hAnsi="Times New Roman"/>
          <w:sz w:val="20"/>
          <w:szCs w:val="20"/>
          <w:u w:val="single" w:color="auto"/>
          <w:color w:val="0000FF"/>
        </w:rPr>
        <w:t>Michael A. Dunn</w:t>
      </w:r>
      <w:r>
        <w:rPr>
          <w:rFonts w:ascii="Times New Roman" w:cs="Times New Roman" w:eastAsia="Times New Roman" w:hAnsi="Times New Roman"/>
          <w:sz w:val="20"/>
          <w:szCs w:val="20"/>
          <w:color w:val="auto"/>
        </w:rPr>
        <w:t xml:space="preserve"> (or his successor), as General Counsel of the Borrower. Such legal opinions shall cover such other matters incident to the transactions contemplated by this Agreement as the Administrative Agent may reasonably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13" w:right="339" w:bottom="1440" w:gutter="0" w:footer="0" w:header="0"/>
        </w:sectPr>
      </w:pPr>
    </w:p>
    <w:bookmarkStart w:id="96" w:name="page97"/>
    <w:bookmarkEnd w:id="96"/>
    <w:p>
      <w:pPr>
        <w:jc w:val="both"/>
        <w:ind w:firstLine="1304"/>
        <w:spacing w:after="0" w:line="253" w:lineRule="auto"/>
        <w:tabs>
          <w:tab w:leader="none" w:pos="1759" w:val="left"/>
        </w:tabs>
        <w:numPr>
          <w:ilvl w:val="1"/>
          <w:numId w:val="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Representations and Warranties; No Defaults</w:t>
      </w:r>
      <w:r>
        <w:rPr>
          <w:rFonts w:ascii="Times New Roman" w:cs="Times New Roman" w:eastAsia="Times New Roman" w:hAnsi="Times New Roman"/>
          <w:sz w:val="20"/>
          <w:szCs w:val="20"/>
          <w:color w:val="auto"/>
        </w:rPr>
        <w:t xml:space="preserve">. (i) (a) the representations and warranties of the Borrower contained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are correct and accurate in all material respects on and as of the Closing Date as though made on and as of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any such representation and warranty is already qualified by materiality or reference to Material Adverse Effect, such representation shall be true and correct in all respects, and (b) no event has occurred and is continuing which constitutes an Event of Default or Default hereunder as of the Closing Date, or after giving effect to any extension of credit on the Closing Date and (ii) the Administrative Agent shall have received certificates signed by a Responsible Officer of the Borrower certifying as to the foregoing.</w:t>
      </w:r>
    </w:p>
    <w:p>
      <w:pPr>
        <w:spacing w:after="0" w:line="192"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1"/>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Compliance Certificate; Borrowing Base Certificate</w:t>
      </w:r>
      <w:r>
        <w:rPr>
          <w:rFonts w:ascii="Times New Roman" w:cs="Times New Roman" w:eastAsia="Times New Roman" w:hAnsi="Times New Roman"/>
          <w:sz w:val="19"/>
          <w:szCs w:val="19"/>
          <w:color w:val="auto"/>
        </w:rPr>
        <w:t>. The Administrative Agent shall have received, no later than seven</w:t>
      </w:r>
    </w:p>
    <w:p>
      <w:pPr>
        <w:spacing w:after="0" w:line="33" w:lineRule="exact"/>
        <w:rPr>
          <w:rFonts w:ascii="Times New Roman" w:cs="Times New Roman" w:eastAsia="Times New Roman" w:hAnsi="Times New Roman"/>
          <w:sz w:val="19"/>
          <w:szCs w:val="19"/>
          <w:color w:val="010000"/>
        </w:rPr>
      </w:pPr>
    </w:p>
    <w:p>
      <w:pPr>
        <w:ind w:left="280" w:hanging="272"/>
        <w:spacing w:after="0"/>
        <w:tabs>
          <w:tab w:leader="none" w:pos="28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prior to the Closing Date (or such lesser period of time as the Administrative Agent may agree in its sole discretion), delivery of (i) a</w:t>
      </w:r>
    </w:p>
    <w:p>
      <w:pPr>
        <w:spacing w:after="0" w:line="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 xml:space="preserve">Compliance Certificate,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as of June 30, 2022, and (ii) a Borrowing Base Certificate,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as of June 30, 2022, with customary supporting documentation and supplemental reporting.</w:t>
      </w:r>
    </w:p>
    <w:p>
      <w:pPr>
        <w:spacing w:after="0" w:line="188" w:lineRule="exact"/>
        <w:rPr>
          <w:sz w:val="20"/>
          <w:szCs w:val="20"/>
          <w:color w:val="auto"/>
        </w:rPr>
      </w:pPr>
    </w:p>
    <w:p>
      <w:pPr>
        <w:jc w:val="both"/>
        <w:ind w:firstLine="1304"/>
        <w:spacing w:after="0" w:line="253" w:lineRule="auto"/>
        <w:tabs>
          <w:tab w:leader="none" w:pos="1724" w:val="left"/>
        </w:tabs>
        <w:numPr>
          <w:ilvl w:val="0"/>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KYC/Beneficial Ownership</w:t>
      </w:r>
      <w:r>
        <w:rPr>
          <w:rFonts w:ascii="Times New Roman" w:cs="Times New Roman" w:eastAsia="Times New Roman" w:hAnsi="Times New Roman"/>
          <w:sz w:val="20"/>
          <w:szCs w:val="20"/>
          <w:color w:val="auto"/>
        </w:rPr>
        <w:t>. (i) The Administrative Agent shall have received, at least five (5) days prior to the Closing Date, all documentation and other information regarding the Borrower requested in connection with applicable “know your customer” and anti-money laundering rules and regulations, including the Patriot Act and (ii) at least five (5) days prior to the Closing Date, any Lender that has requested, in a written notice to the Borrower, a Beneficial Ownership Certification in relation to the Borrower shall have received such Beneficial Ownership Certification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execution and delivery by such Lender of its signature page to this Agreement, the condition set forth in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deemed to be satisfied).</w:t>
      </w:r>
    </w:p>
    <w:p>
      <w:pPr>
        <w:spacing w:after="0" w:line="192"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870" w:val="left"/>
        </w:tabs>
        <w:numPr>
          <w:ilvl w:val="0"/>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Proceeding or Litigation; No Injunctive Relief</w:t>
      </w:r>
      <w:r>
        <w:rPr>
          <w:rFonts w:ascii="Times New Roman" w:cs="Times New Roman" w:eastAsia="Times New Roman" w:hAnsi="Times New Roman"/>
          <w:sz w:val="20"/>
          <w:szCs w:val="20"/>
          <w:color w:val="auto"/>
        </w:rPr>
        <w:t>. No action, suit or Proceeding before any arbitrator or any Governmental Authority shall have been commenced, no investigation by any Governmental Authority shall have been commenced and no action, suit, Proceeding or investigation by any Governmental Authority shall have been threatened (in writing), against the Borrower or any Subsidiary of the Borrower or any of the officers, directors or managers of the Borrower or any Subsidiary of the Borrower, seeking to restrain, prevent or change the transactions contemplated by this Agreement in whole or in part or questioning the validity or legality of the transactions contemplated by this Agreement or seeking damages in connection with such transactions.</w:t>
      </w:r>
    </w:p>
    <w:p>
      <w:pPr>
        <w:spacing w:after="0" w:line="190"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21" w:val="left"/>
        </w:tabs>
        <w:numPr>
          <w:ilvl w:val="0"/>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Consents, Licenses Approvals, etc</w:t>
      </w:r>
      <w:r>
        <w:rPr>
          <w:rFonts w:ascii="Times New Roman" w:cs="Times New Roman" w:eastAsia="Times New Roman" w:hAnsi="Times New Roman"/>
          <w:sz w:val="20"/>
          <w:szCs w:val="20"/>
          <w:color w:val="auto"/>
        </w:rPr>
        <w:t>. All governmental and third party consents, licenses and approvals necessary or, in the discretion of the Administrative Agent, advisable in accordance with the transactions contemplated hereby and the continuing operations of the Borrower and its Subsidiaries (including shareholder approvals, if any) shall have been obtained on reasonably satisfactory terms and be in full force and effect.</w:t>
      </w:r>
    </w:p>
    <w:p>
      <w:pPr>
        <w:spacing w:after="0" w:line="172"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The Administrative Agent shall have received a duly executed Solvency Certificate.</w:t>
      </w:r>
    </w:p>
    <w:p>
      <w:pPr>
        <w:spacing w:after="0" w:line="229"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35" w:val="left"/>
        </w:tabs>
        <w:numPr>
          <w:ilvl w:val="0"/>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Material Adverse Change</w:t>
      </w:r>
      <w:r>
        <w:rPr>
          <w:rFonts w:ascii="Times New Roman" w:cs="Times New Roman" w:eastAsia="Times New Roman" w:hAnsi="Times New Roman"/>
          <w:sz w:val="20"/>
          <w:szCs w:val="20"/>
          <w:color w:val="auto"/>
        </w:rPr>
        <w:t>. There shall not have occurred any event, condition, situation or status since September 30, 2021 that has had or could reasonably be expected to result in a material adverse change in the consolidated financial condition or business or operations of the Borrower and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13" w:right="339" w:bottom="1440" w:gutter="0" w:footer="0" w:header="0"/>
        </w:sectPr>
      </w:pPr>
    </w:p>
    <w:bookmarkStart w:id="97" w:name="page98"/>
    <w:bookmarkEnd w:id="97"/>
    <w:p>
      <w:pPr>
        <w:jc w:val="both"/>
        <w:ind w:firstLine="1304"/>
        <w:spacing w:after="0" w:line="253" w:lineRule="auto"/>
        <w:tabs>
          <w:tab w:leader="none" w:pos="1820"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Termination of Existing Credit Agreement</w:t>
      </w:r>
      <w:r>
        <w:rPr>
          <w:rFonts w:ascii="Times New Roman" w:cs="Times New Roman" w:eastAsia="Times New Roman" w:hAnsi="Times New Roman"/>
          <w:sz w:val="20"/>
          <w:szCs w:val="20"/>
          <w:color w:val="auto"/>
        </w:rPr>
        <w:t xml:space="preserve">. The Administrative Agent shall have received evidence, in the form of a customary payoff letter satisfactory to it, that substantially concurrently with the execution of this Agreement (a) the Existing Credit Agreement has been terminated (and the commitment of each financial institution to make loans and other extensions of credit pursuant to the Existing Credit Agreement shall have been terminated in full), (b) all outstanding Indebtedness and other obligations and amounts owing thereunder have been paid in full, and (c) all guarantees and security interests granted in connection with the Existing Credit Agreement have been terminated and, other than as set forth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released.</w:t>
      </w:r>
    </w:p>
    <w:p>
      <w:pPr>
        <w:spacing w:after="0" w:line="192" w:lineRule="exact"/>
        <w:rPr>
          <w:rFonts w:ascii="Times New Roman" w:cs="Times New Roman" w:eastAsia="Times New Roman" w:hAnsi="Times New Roman"/>
          <w:sz w:val="20"/>
          <w:szCs w:val="20"/>
          <w:color w:val="010000"/>
        </w:rPr>
      </w:pPr>
    </w:p>
    <w:p>
      <w:pPr>
        <w:ind w:firstLine="1304"/>
        <w:spacing w:after="0" w:line="269" w:lineRule="auto"/>
        <w:tabs>
          <w:tab w:leader="none" w:pos="1738"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Additional Documents</w:t>
      </w:r>
      <w:r>
        <w:rPr>
          <w:rFonts w:ascii="Times New Roman" w:cs="Times New Roman" w:eastAsia="Times New Roman" w:hAnsi="Times New Roman"/>
          <w:sz w:val="20"/>
          <w:szCs w:val="20"/>
          <w:color w:val="auto"/>
        </w:rPr>
        <w:t>. Such other agreements, instruments and documents as the Administrative Agent, its counsel or any Lender may reasonably request.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5.2. Conditions to Each Extension of Credit. The agreement of each Lender (including any Issuing Lender) to make any extension of credit requested to be made by it on any date (including its initial extension of credit) is subject to the satisfaction of the following 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-328295</wp:posOffset>
            </wp:positionV>
            <wp:extent cx="21386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38680" cy="8890"/>
                    </a:xfrm>
                    <a:prstGeom prst="rect">
                      <a:avLst/>
                    </a:prstGeom>
                    <a:noFill/>
                  </pic:spPr>
                </pic:pic>
              </a:graphicData>
            </a:graphic>
          </wp:anchor>
        </w:drawing>
      </w:r>
    </w:p>
    <w:p>
      <w:pPr>
        <w:ind w:firstLine="1304"/>
        <w:spacing w:after="0" w:line="253" w:lineRule="auto"/>
        <w:tabs>
          <w:tab w:leader="none" w:pos="1808"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The Administrative Agent shall have received notice of the Borrower’s request for Revolving Loans as provided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or the Borrower’s request for the issuance of a Letter of Credit as provided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65"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Each of the representations and warranties made by any Loan Party in or pursuant to the Loan Documents shall be true and correct in all material respects (except any representations and warranties which are qualified by materiality or reference to Material Adverse Effect, shall be correct and accurate in all respects) on and as of such date as if made on and as of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such representations and warranties are expressly made only as of a prior date, such representations and warranties shall be true and correct in all material respects (or all respects, as applicable) as of such prior date.</w:t>
      </w:r>
    </w:p>
    <w:p>
      <w:pPr>
        <w:spacing w:after="0" w:line="191" w:lineRule="exact"/>
        <w:rPr>
          <w:rFonts w:ascii="Times New Roman" w:cs="Times New Roman" w:eastAsia="Times New Roman" w:hAnsi="Times New Roman"/>
          <w:sz w:val="20"/>
          <w:szCs w:val="20"/>
          <w:color w:val="010000"/>
        </w:rPr>
      </w:pPr>
    </w:p>
    <w:p>
      <w:pPr>
        <w:ind w:firstLine="1304"/>
        <w:spacing w:after="0" w:line="269" w:lineRule="auto"/>
        <w:tabs>
          <w:tab w:leader="none" w:pos="1727"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Default or Event of Default shall have occurred and be continuing on such date or after giving effect to the extensions of credit requested to be made on such date.</w:t>
      </w:r>
    </w:p>
    <w:p>
      <w:pPr>
        <w:spacing w:after="0" w:line="172" w:lineRule="exact"/>
        <w:rPr>
          <w:rFonts w:ascii="Times New Roman" w:cs="Times New Roman" w:eastAsia="Times New Roman" w:hAnsi="Times New Roman"/>
          <w:sz w:val="20"/>
          <w:szCs w:val="20"/>
          <w:color w:val="010000"/>
        </w:rPr>
      </w:pPr>
    </w:p>
    <w:p>
      <w:pPr>
        <w:ind w:firstLine="1304"/>
        <w:spacing w:after="0" w:line="269" w:lineRule="auto"/>
        <w:tabs>
          <w:tab w:leader="none" w:pos="1792"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Availability</w:t>
      </w:r>
      <w:r>
        <w:rPr>
          <w:rFonts w:ascii="Times New Roman" w:cs="Times New Roman" w:eastAsia="Times New Roman" w:hAnsi="Times New Roman"/>
          <w:sz w:val="20"/>
          <w:szCs w:val="20"/>
          <w:color w:val="auto"/>
        </w:rPr>
        <w:t>. If, after giving effect to such Loan or Letter of Credit, the Borrowing Base Availability is less than the Outstanding Amount, Borrower shall, on such date, reduce the Outstanding Amount by an amount at least equal to such deficiency.</w:t>
      </w:r>
    </w:p>
    <w:p>
      <w:pPr>
        <w:spacing w:after="0" w:line="172"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54"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Borrowing Base Certificate</w:t>
      </w:r>
      <w:r>
        <w:rPr>
          <w:rFonts w:ascii="Times New Roman" w:cs="Times New Roman" w:eastAsia="Times New Roman" w:hAnsi="Times New Roman"/>
          <w:sz w:val="20"/>
          <w:szCs w:val="20"/>
          <w:color w:val="auto"/>
        </w:rPr>
        <w:t xml:space="preserve">. The Administrative Agent shall have received a Borrowing Base Certificate for the most recently ended month for which a Borrowing Base Certificate is required to have been delivered pursuant to </w:t>
      </w:r>
      <w:r>
        <w:rPr>
          <w:rFonts w:ascii="Times New Roman" w:cs="Times New Roman" w:eastAsia="Times New Roman" w:hAnsi="Times New Roman"/>
          <w:sz w:val="20"/>
          <w:szCs w:val="20"/>
          <w:u w:val="single" w:color="auto"/>
          <w:color w:val="auto"/>
        </w:rPr>
        <w:t>Section 6.1(l)</w:t>
      </w:r>
      <w:r>
        <w:rPr>
          <w:rFonts w:ascii="Times New Roman" w:cs="Times New Roman" w:eastAsia="Times New Roman" w:hAnsi="Times New Roman"/>
          <w:sz w:val="20"/>
          <w:szCs w:val="20"/>
          <w:color w:val="auto"/>
        </w:rPr>
        <w:t>, showing the Borrowing Base Availability after giving pro forma effect to such Loan or Letter of Credit.</w:t>
      </w:r>
    </w:p>
    <w:p>
      <w:pPr>
        <w:spacing w:after="0" w:line="18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Each borrowing by and issuance of a Letter of Credit on behalf of the Borrower hereunder shall constitute a representation and warranty by the Borrower as of the date of such extension of credit that the conditions contained in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have been satisfied.</w:t>
      </w:r>
    </w:p>
    <w:p>
      <w:pPr>
        <w:spacing w:after="0" w:line="173"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19"/>
          <w:szCs w:val="19"/>
          <w:color w:val="auto"/>
        </w:rPr>
        <w:t>AFFIRMATIVE COVENANTS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Borrower hereby agrees that, so long as the Commitments remain in effect, any Letter of Credit remains outstanding or any Loan or other amount (other than contingent obligations (such as indemnities or increased costs) as to which no claim bas been asserted) is owing to any Lender,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1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color w:val="auto"/>
        </w:rPr>
        <w:t>Issuing Lender or the Administrative Agent hereunder, the Borrower shall and shall cause each Loan Party to:</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6.1. Reporting Requirements. The Borrower shall maintain a standard system of accounting established and administered in accordance with GAAP and shall cause to be delivered to the Administrative Agent (for prompt distribution by the Administrative Agent to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-323215</wp:posOffset>
            </wp:positionV>
            <wp:extent cx="14687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68755" cy="8255"/>
                    </a:xfrm>
                    <a:prstGeom prst="rect">
                      <a:avLst/>
                    </a:prstGeom>
                    <a:noFill/>
                  </pic:spPr>
                </pic:pic>
              </a:graphicData>
            </a:graphic>
          </wp:anchor>
        </w:drawing>
      </w:r>
    </w:p>
    <w:p>
      <w:pPr>
        <w:jc w:val="both"/>
        <w:ind w:firstLine="1304"/>
        <w:spacing w:after="0" w:line="249" w:lineRule="auto"/>
        <w:tabs>
          <w:tab w:leader="none" w:pos="1713"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soon as available and in any event within 90 days after the end of each fiscal year of the Borrower (commencing with the fiscal year ending September 30, 2022), a consolidated balance sheet of the Loan Parties and their Subsidiaries as of the end of that fiscal year and the related consolidated statements of operations, stockholders’ equity and cash flows for that fiscal year, all with accompanying notes and schedules, prepared in accordance with GAAP consistently applied and audited and reported upon by Deloitte &amp; Touche LLP or another firm of independent certified public accountants of similar recognized standing selected by the Borrower and acceptable to the Administrative Agent (such audit report shall be unqualified except for qualifications relating to changes in GAAP and required or approved by the Borrower’s independent certified public accountants); the financial statements filed with or furnished to the Securities and Exchange Commission by the Borrower (and which are available online) shall be deemed to have been provided by the Borrower under this reporting requirement;</w:t>
      </w:r>
    </w:p>
    <w:p>
      <w:pPr>
        <w:spacing w:after="0" w:line="193"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748"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soon as available and in any event within 45 days after the end of each of the first three quarters, of each fiscal year of the Borrower, a consolidated balance sheet of the Loan Parties and their Subsidiaries as of the end of that quarter, and the related consolidated statement of operations and cash flows of the Loan Parties and their Subsidiaries for the period from the beginning of the fiscal year to the end of that quarter, all prepared in accordance with GAAP consistently applied, unaudited but certified to be true and accurate, subject to normal year-end audit adjustments, by an Authorized Financial Officer of the Borrower; the financial statements filed with or furnished to the Securities and Exchange Commission by the Borrower (and which are available online) shall be deemed to have been provided by the Borrower under this reporting requirement;</w:t>
      </w:r>
    </w:p>
    <w:p>
      <w:pPr>
        <w:spacing w:after="0" w:line="192"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814"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(x) concurrently with the delivery of the financial statements described in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above, to the extent such accountants issue such letters, a letter signed by that firm of independent certified public accountants to the effect that, during the course of their examination, nothing came to their attention which caused them to believe that any Event of Default has occurred, or if such Event of Default has occurred, specifying the facts with respect thereto, (y) concurrently with the delivery of the financial statements described in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 certificate signed by the Chief Executive Officer, President or Executive Vice President and an Authorized Financial Officer of the Borrower to the effect that having read this Agreement, and based upon an examination which they deemed sufficient to enable them to make an informed statement, there does not exist any Event of Default or Default, or if such Event of Default or Default has occurred, specifying the facts with respect thereto and any action taken or proposed to be taken with respect thereto, and (z) concurrently with the delivery of the financial statements described in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 certificate of an Authorized Financial Officer of the Borrower including, with respect to such financial statements, any adjustments necessary to eliminate the accounts of Unrestricted Subsidiaries (if any) from such consolidated financial statements;</w:t>
      </w:r>
    </w:p>
    <w:p>
      <w:pPr>
        <w:spacing w:after="0" w:line="186"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805"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90 days after the beginning of each fiscal year of the Borrower (commencing with the fiscal year beginning October 1, 2023, a projection, in reasonable detail and in form and substance satisfactory to the Administrative Agent, on a quarterly basis, of the earnings, cash flow, balance sheet and covenant calculations (with assumptions for all of the foregoing) of the Loan Parties and their Subsidiaries for that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13" w:right="339" w:bottom="1440" w:gutter="0" w:footer="0" w:header="0"/>
        </w:sectPr>
      </w:pPr>
    </w:p>
    <w:bookmarkStart w:id="99" w:name="page100"/>
    <w:bookmarkEnd w:id="99"/>
    <w:p>
      <w:pPr>
        <w:jc w:val="both"/>
        <w:ind w:firstLine="1304"/>
        <w:spacing w:after="0" w:line="251" w:lineRule="auto"/>
        <w:tabs>
          <w:tab w:leader="none" w:pos="1735"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upon becoming available, copies of all financial statements, reports, notices and proxy statements sent by the Borrower to its stockholders, and of all regular and periodic reports and other material (including copies of all registration statements and reports under the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and the Securities Exchange Act of 1934, as amended) filed by the Borrower with or furnished to any securities exchange or any governmental authority or commission, except material filed with or furnished to governmental authorities or commissions relating to the development of Real Property Inventory in the ordinary course of the business of the Loan Parties and which does not relate to or disclose any Material Adverse Effect; the reports and financial statements filed with or furnished to the Securities and Exchange Commission by the Borrower (and which are available online) shall be deemed to have been provided by the Borrower under these reporting requirements;</w:t>
      </w:r>
    </w:p>
    <w:p>
      <w:pPr>
        <w:spacing w:after="0" w:line="195"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22"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as soon as available and in any event within 90 days after the end of the fourth quarter of each fiscal year for the Joint Ventures, a statement of earnings, assets, liabilities and net worth, indicating Borrower’s and each Loan Party’s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thereof, in the form attached as </w:t>
      </w:r>
      <w:r>
        <w:rPr>
          <w:rFonts w:ascii="Times New Roman" w:cs="Times New Roman" w:eastAsia="Times New Roman" w:hAnsi="Times New Roman"/>
          <w:sz w:val="20"/>
          <w:szCs w:val="20"/>
          <w:u w:val="single" w:color="auto"/>
          <w:color w:val="auto"/>
        </w:rPr>
        <w:t>Schedule 6.1(f)</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732"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following reports: within 45 days after the end of each of the first three quarters, and within 90 days after the end of each fiscal year of the Borrower (commencing with the quarter ending December 31, 2022 and fiscal year ending September 30, 2022), a report which shall include the information and calculations provided for in the Compliance Certificate attached to this Agreement, which shall be in reasonable detail and in form and substance satisfactory to the Administrative Agent, with calculations indicating whether the Borrower is in compliance, as of the last day of such quarterly or annual period, as the case may be, with the provisions of the financial covenants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of Borrower and the Loan Parties (the reports furnished pursuant to this </w:t>
      </w:r>
      <w:r>
        <w:rPr>
          <w:rFonts w:ascii="Times New Roman" w:cs="Times New Roman" w:eastAsia="Times New Roman" w:hAnsi="Times New Roman"/>
          <w:sz w:val="20"/>
          <w:szCs w:val="20"/>
          <w:u w:val="single" w:color="auto"/>
          <w:color w:val="auto"/>
        </w:rPr>
        <w:t>subsection (g)</w:t>
      </w:r>
      <w:r>
        <w:rPr>
          <w:rFonts w:ascii="Times New Roman" w:cs="Times New Roman" w:eastAsia="Times New Roman" w:hAnsi="Times New Roman"/>
          <w:sz w:val="20"/>
          <w:szCs w:val="20"/>
          <w:color w:val="auto"/>
        </w:rPr>
        <w:t xml:space="preserve"> shall each be certified to be true and correct by an Authorized Financial Officer of the Borrower);</w:t>
      </w:r>
    </w:p>
    <w:p>
      <w:pPr>
        <w:spacing w:after="0" w:line="192"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56"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soon as possible and in any event within 30 days after the Borrower knows that any Reportable Event has occurred with respect to any Plan, a statement, signed by an Authorized Financial Officer of the Borrower, describing said Reportable Event and the action which the Borrower proposes to take with respect thereto;</w:t>
      </w:r>
    </w:p>
    <w:p>
      <w:pPr>
        <w:spacing w:after="0" w:line="167"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65"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soon as possible and in any event within 10 days after receipt thereof by any of the Loan Parties or any of their Subsidiaries, a copy of (i) any notice or claim to the effect that any of the Loan Parties or of their Subsidiaries is or may be liable to any Person as a result of the release by any of the Loan Parties, any of their Subsidiaries, or any other Person of any Hazardous Substance into the environment, and (ii) any notice alleging any violation of any Environmental Law or any federal, state or local health or safety law or regulation by any of the Loan Parties or any of their Subsidiaries, which, in either case, could reasonably be expected to have a Material Adverse Effect;</w:t>
      </w:r>
    </w:p>
    <w:p>
      <w:pPr>
        <w:spacing w:after="0" w:line="192"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838"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concurrently with the quarterly financial statements described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above (or such later date as the Administrative Agent may agree in its sole discretion) following the end of any quarter in which there occurred an event that requires a Subsidiary that is not then a Guarantor to become a Guarantor under this Agreement (as described in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below) (or at any time that the Borrower may elect to cause any other Subsidiary to be a Guarantor), the Borrower shall deliver to the Administrative Agent (i) a supplemental guaranty, substantially in the form provided for in the Guarantee Agreement, executed by a duly authorized officer of such Subsidiary; (ii) a copy of the certificate of incorporation or other organizational document of such Subsidiary, certified by the secretary of state or other official of the state or other jurisdiction of its incorporation; (iii) representations and warranties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13" w:right="339" w:bottom="1440" w:gutter="0" w:footer="0" w:header="0"/>
        </w:sectPr>
      </w:pPr>
    </w:p>
    <w:bookmarkStart w:id="100" w:name="page101"/>
    <w:bookmarkEnd w:id="100"/>
    <w:p>
      <w:pPr>
        <w:jc w:val="both"/>
        <w:spacing w:after="0" w:line="258" w:lineRule="auto"/>
        <w:rPr>
          <w:sz w:val="20"/>
          <w:szCs w:val="20"/>
          <w:color w:val="auto"/>
        </w:rPr>
      </w:pPr>
      <w:r>
        <w:rPr>
          <w:rFonts w:ascii="Times New Roman" w:cs="Times New Roman" w:eastAsia="Times New Roman" w:hAnsi="Times New Roman"/>
          <w:sz w:val="20"/>
          <w:szCs w:val="20"/>
          <w:color w:val="auto"/>
        </w:rPr>
        <w:t>Borrower regarding such Guarantor’s formation, authority, execution, delivery, non-contravention and enforceability of the supplemental guaranty as are delivered by the Borrower and Loan Parties at the Closing Date and (iv) such other documents and instruments as Administrative Agent may reasonably require, including appropriate favorable opinions of counsel to such Person in form, content and scope reasonably satisfactory to Administrative Agent;</w:t>
      </w:r>
    </w:p>
    <w:p>
      <w:pPr>
        <w:spacing w:after="0" w:line="172" w:lineRule="exact"/>
        <w:rPr>
          <w:sz w:val="20"/>
          <w:szCs w:val="20"/>
          <w:color w:val="auto"/>
        </w:rPr>
      </w:pPr>
    </w:p>
    <w:p>
      <w:pPr>
        <w:jc w:val="both"/>
        <w:ind w:firstLine="1304"/>
        <w:spacing w:after="0" w:line="258" w:lineRule="auto"/>
        <w:tabs>
          <w:tab w:leader="none" w:pos="1733"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supplements to the aforementioned documents and additional information and reports as the Administrative Agent or any Lender may from time to time reasonably require and information and documentation reasonably requested by the Administrative Agent or any Lender for purposes of compliance with applicable “know your customer” and anti-money laundering rules and regulations, including the Patriot Act; and</w:t>
      </w:r>
    </w:p>
    <w:p>
      <w:pPr>
        <w:spacing w:after="0" w:line="185"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15"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soon as available, but in any event within twenty (20) days after the end of each calendar month, a Borrowing Base Certificate, certified by an Authorized Financial Officer of the Borrower, showing the calculation of the Borrowing Base and Borrowing Base Availability as of the last day of such month, in each case, in form and substance reasonably satisfactory to the Administrative Agent.</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6.2. Payment of Taxes and Other Potential Liens. Pay and discharge or cause to be paid and discharged promptly all material taxes, assessments and governmental charges or levies imposed upon any Loan Party or upon any of their respective incomes or receipts or upon any of their respective properties before the same shall become in default or past due, or result in the imposition of a Lien or charge upon such properties or any part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it shall not constitute a violation of the provisions of this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xml:space="preserve"> if any Loan Party shall fail to perform any such obligation or to pay any such tax, assessment, governmental charge or levy which is being contested in good faith, by proper proceedings diligently pursued, and as to which adequate reserves have been provided in conformity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-777240</wp:posOffset>
            </wp:positionV>
            <wp:extent cx="23602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60295" cy="8255"/>
                    </a:xfrm>
                    <a:prstGeom prst="rect">
                      <a:avLst/>
                    </a:prstGeom>
                    <a:noFill/>
                  </pic:spPr>
                </pic:pic>
              </a:graphicData>
            </a:graphic>
          </wp:anchor>
        </w:drawing>
      </w: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6.3. Preservation of Existence. Do or cause to be done all things or proceed with due diligence with any actions or courses of action which may be necessary to preserve and keep in full force and effect its existence under the laws of their respective states of incorporation or formation and all qualifications or licenses in jurisdictions in which such qualification or licensing is required for the conduct of its business, except where the failure to do so would not reasonably be expected to result in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nothing herein shall be deemed to prohibit any merger, consolidation, Division, liquidation or dissolution permitted under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The Borrower will, and will cause each Restricted Subsidiary to, carry on and conduct its business in substantially the same manner and in substantially the same fields of enterprise as it is presently conducted and maintain all requisite authority to conduct its business in each jurisdiction in which its business is conducted. The primary business of the Loan Parties and their Subsidiaries shall at all times be the acquisition, development and sale of real estate assets and ancillary and complementary businesses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-1231265</wp:posOffset>
            </wp:positionV>
            <wp:extent cx="1409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6.4. Maintenance of Properties. Maintain all its properties and assets in good working order and condition and make all necessary repairs, renewals and replacements thereof so that its business carried on in connection therewith may be properly conducted at all times; and maintain or require to be maintained (a) adequate insurance, by financially sound and reputable insurers, on all properties of the Loan Parties which are of a character usually insured by Persons engaged in the same or a similar business (including, without limitation, all Real Property Inventory encumbered by mortgages securing mortgage loans made by any Loan Party, to the extent normally required by prudent mortgagees, and all Real Property Inventory which is the subject of an equity investment by any Loan Party, to the extent normally carried by prudent builder-developers) against loss or damage resulting from fire, defects in title or other risks insured against by extended coverage and of the kind customarily insured against by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-1096010</wp:posOffset>
            </wp:positionV>
            <wp:extent cx="14770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77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13" w:right="339" w:bottom="1440" w:gutter="0" w:footer="0" w:header="0"/>
        </w:sectPr>
      </w:pPr>
    </w:p>
    <w:bookmarkStart w:id="101" w:name="page102"/>
    <w:bookmarkEnd w:id="101"/>
    <w:p>
      <w:pPr>
        <w:jc w:val="both"/>
        <w:spacing w:after="0" w:line="254" w:lineRule="auto"/>
        <w:rPr>
          <w:sz w:val="20"/>
          <w:szCs w:val="20"/>
          <w:color w:val="auto"/>
        </w:rPr>
      </w:pPr>
      <w:r>
        <w:rPr>
          <w:rFonts w:ascii="Times New Roman" w:cs="Times New Roman" w:eastAsia="Times New Roman" w:hAnsi="Times New Roman"/>
          <w:sz w:val="20"/>
          <w:szCs w:val="20"/>
          <w:color w:val="auto"/>
        </w:rPr>
        <w:t>Persons, (b) adequate public liability insurance against tort claims which may be incurred by any Loan Party, and (c) such other insurance as may be required by law, in each case, except where the failure to do so would not reasonably be expected to result in a Material Adverse Effect. Upon the request of the Administrative Agent, the Borrower will furnish to the Lenders full information as to the insurance carried.</w:t>
      </w:r>
    </w:p>
    <w:p>
      <w:pPr>
        <w:spacing w:after="0" w:line="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6.5. Access to Premises and Books. At all reasonable times and as often as any Lender may reasonably request, permit authorized representatives and agents (including accountants) designated by that Lender to (a) have access to the premises of the Borrower and each Subsidiary and to their respective corporate books and financial records, and all other records relating to their respective operations and procedures, (b) make copies of or excerpts from those books and records and (c) upon reasonable notice to the Borrower, discuss the respective affairs, finances and operations of the Loan Parties and their Subsidiaries with, and to be advised as to the same by, their respective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-776605</wp:posOffset>
            </wp:positionV>
            <wp:extent cx="16884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6.6. Notices. Give prompt written notice to the Administrative Agent (who promptly shall furnish the same to the Lenders) of (a) any Proceeding instituted by or against the Borrower or any of the Loan Parties in any federal or state court or before any commission or other regulatory body, federal, state or local or other governmental agency, which, if adversely determined, could reasonably be expected to have a Material Adverse Effect on any Loan Party, (b) any other event which could reasonably be expected to lead to or result in a Material Adverse Effect, (c) the occurrence of any Default or Event of Default and (d) any change in the information provided in the Beneficial Ownership Certification that would result in a change to the list of beneficial owners identified in parts (c) or (d) of such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-780415</wp:posOffset>
            </wp:positionV>
            <wp:extent cx="5264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6.7. Addition and Removal of Guarantors. Give the Administrative Agent prompt written notice of the formation or acquisition of any Restricted Subsidiary or of any Subsidiary ceasing to be an Excluded Subsidiary. Each such (x) newly formed Restricted Subsidiary (to the extent such Restricted Subsidiary is not an Excluded Subsidiary) and (y) Restricted Subsidiary that has ceased to be an Excluded Subsidiary shall be required to become a Guarantor in accordance with the terms set forth in </w:t>
      </w:r>
      <w:r>
        <w:rPr>
          <w:rFonts w:ascii="Times New Roman" w:cs="Times New Roman" w:eastAsia="Times New Roman" w:hAnsi="Times New Roman"/>
          <w:sz w:val="20"/>
          <w:szCs w:val="20"/>
          <w:u w:val="single" w:color="auto"/>
          <w:color w:val="auto"/>
        </w:rPr>
        <w:t>Section 6.1(j)</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-478155</wp:posOffset>
            </wp:positionV>
            <wp:extent cx="20231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Notwithstanding anything to the contrary, if at any time or from time to time any event results in a Change in Status of a Guarantor, the Borrower shall deliver notice thereof to the Administrative Agent, including a reasonably detailed description of the Change in Status and a statement of the effective date of the Change in Status (such written notice, a “</w:t>
      </w:r>
      <w:r>
        <w:rPr>
          <w:rFonts w:ascii="Times New Roman" w:cs="Times New Roman" w:eastAsia="Times New Roman" w:hAnsi="Times New Roman"/>
          <w:sz w:val="20"/>
          <w:szCs w:val="20"/>
          <w:u w:val="single" w:color="auto"/>
          <w:color w:val="auto"/>
        </w:rPr>
        <w:t>Change in Status Notice</w:t>
      </w:r>
      <w:r>
        <w:rPr>
          <w:rFonts w:ascii="Times New Roman" w:cs="Times New Roman" w:eastAsia="Times New Roman" w:hAnsi="Times New Roman"/>
          <w:sz w:val="20"/>
          <w:szCs w:val="20"/>
          <w:color w:val="auto"/>
        </w:rPr>
        <w:t xml:space="preserve">”). Such notice shall be delivered no later than 45 days after the end of the fiscal quarter during which such Change in Status occurs;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 respect to any Change in Status occurring during the last quarter of Borrower’s fiscal year, such notice shall be delivered no later than 90 days after the end of such final fiscal quarter. Each Change in Status event shall be effective as of the effective date requested in such Change in Status Notice, automatically, without any further action by any party to this Agreement, and upon the requested effective date included in the Change in Status Notice, the Subsidiary that is or was subject to such Change in Status shall no longer be a Guarantor and shall be released from the Guarantee Agreement so long as, (x) no Default or Event of Default shall have occurred and be continuing or shall result therefrom, (y) the Guarantor is released from its guarantee(s) under all other Indebtedness ranking pari passu with the Obligations (other than by reason of payment under such guarantees) and (z) the Borrower has delivered to the Administrative Agent a certificate of a Responsible Officer stating that all conditions precedent provided for in this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have been complied with and that such release is authorized and permitted under this Agreement.</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6.8. Compliance with Laws and Other Requirements. Promptly and fully comply with, conform to and obey all present and future laws, ordinances, rules, regulations, orders, writs, judgments, injunctions, decrees, awards and all other legal requirements applicable to the Loan Parties, their Subsidiaries and their respective properties, including, without limitation, Regulation Z of the Board, the Federal Interstate Land Sales Full Disclosure Act, ERISA, the Florida Land Sales Act or any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-492760</wp:posOffset>
            </wp:positionV>
            <wp:extent cx="25933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93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13" w:right="339" w:bottom="1440" w:gutter="0" w:footer="0" w:header="0"/>
        </w:sectPr>
      </w:pPr>
    </w:p>
    <w:bookmarkStart w:id="102" w:name="page103"/>
    <w:bookmarkEnd w:id="102"/>
    <w:p>
      <w:pPr>
        <w:jc w:val="both"/>
        <w:spacing w:after="0" w:line="254" w:lineRule="auto"/>
        <w:rPr>
          <w:sz w:val="20"/>
          <w:szCs w:val="20"/>
          <w:color w:val="auto"/>
        </w:rPr>
      </w:pPr>
      <w:r>
        <w:rPr>
          <w:rFonts w:ascii="Times New Roman" w:cs="Times New Roman" w:eastAsia="Times New Roman" w:hAnsi="Times New Roman"/>
          <w:sz w:val="20"/>
          <w:szCs w:val="20"/>
          <w:color w:val="auto"/>
        </w:rPr>
        <w:t>statute in any applicable jurisdiction, in each case, the violation of which would have a Material Adverse Effect on any Loan Party.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6.9. Use of Proceeds. Use and cause to be used the proceeds of the Loans and other extensions of credit for working capital and general corporate purposes of the Borrower and its Restricted Subsidiaries in the ordinary course of business, including, subject to Section 7.8, to repay or prepay Indebtedness. The Borrower will not request any Loan or Letter of Credit, and the Borrower shall not use, and shall procure that its Subsidiaries and its or their respective directors, officers, employees and agents shall not use, the proceeds of any Loan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-1082040</wp:posOffset>
            </wp:positionV>
            <wp:extent cx="9848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84885" cy="8255"/>
                    </a:xfrm>
                    <a:prstGeom prst="rect">
                      <a:avLst/>
                    </a:prstGeom>
                    <a:noFill/>
                  </pic:spPr>
                </pic:pic>
              </a:graphicData>
            </a:graphic>
          </wp:anchor>
        </w:drawing>
      </w: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6.10. Certain Post-Closing Obligations. Within the time periods after the Closing Date specified in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xml:space="preserve"> or such later date as the Administrative Agent agrees in its reasonable discretion, the Borrower shall deliver the documents and take the actions specified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-323850</wp:posOffset>
            </wp:positionV>
            <wp:extent cx="18021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02130" cy="8255"/>
                    </a:xfrm>
                    <a:prstGeom prst="rect">
                      <a:avLst/>
                    </a:prstGeom>
                    <a:noFill/>
                  </pic:spPr>
                </pic:pic>
              </a:graphicData>
            </a:graphic>
          </wp:anchor>
        </w:drawing>
      </w:r>
    </w:p>
    <w:p>
      <w:pPr>
        <w:jc w:val="center"/>
        <w:ind w:right="-19"/>
        <w:spacing w:after="0"/>
        <w:tabs>
          <w:tab w:leader="none" w:pos="180" w:val="left"/>
        </w:tabs>
        <w:rPr>
          <w:sz w:val="20"/>
          <w:szCs w:val="20"/>
          <w:color w:val="auto"/>
        </w:rPr>
      </w:pPr>
      <w:r>
        <w:rPr>
          <w:rFonts w:ascii="Times New Roman" w:cs="Times New Roman" w:eastAsia="Times New Roman" w:hAnsi="Times New Roman"/>
          <w:sz w:val="20"/>
          <w:szCs w:val="20"/>
          <w:color w:val="auto"/>
        </w:rPr>
        <w:t>SECTION 7.</w:t>
      </w:r>
      <w:r>
        <w:rPr>
          <w:sz w:val="20"/>
          <w:szCs w:val="20"/>
          <w:color w:val="auto"/>
        </w:rPr>
        <w:tab/>
      </w:r>
      <w:r>
        <w:rPr>
          <w:rFonts w:ascii="Times New Roman" w:cs="Times New Roman" w:eastAsia="Times New Roman" w:hAnsi="Times New Roman"/>
          <w:sz w:val="19"/>
          <w:szCs w:val="19"/>
          <w:color w:val="auto"/>
        </w:rPr>
        <w:t>NEGATIVE COVENANTS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Borrower hereby agrees that, so long as the Commitments remain in effect, any Letter of Credit remains outstanding or any Loan or other amount (other than contingent obligations (such as indemnities and increased costs) as to which no claim bas been asserted) is owing to any Lender, the Issuing Lender or the Administrative Agent hereunder:</w:t>
      </w:r>
    </w:p>
    <w:p>
      <w:pPr>
        <w:spacing w:after="0" w:line="18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color w:val="auto"/>
        </w:rPr>
        <w:t>Financial Condition Covenants. The Borrower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-10795</wp:posOffset>
            </wp:positionV>
            <wp:extent cx="16891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2"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0"/>
          <w:szCs w:val="20"/>
          <w:color w:val="010000"/>
        </w:rPr>
        <w:t>(a)</w:t>
      </w:r>
      <w:r>
        <w:rPr>
          <w:sz w:val="20"/>
          <w:szCs w:val="20"/>
          <w:color w:val="auto"/>
        </w:rPr>
        <w:tab/>
      </w:r>
      <w:r>
        <w:rPr>
          <w:rFonts w:ascii="Times New Roman" w:cs="Times New Roman" w:eastAsia="Times New Roman" w:hAnsi="Times New Roman"/>
          <w:sz w:val="20"/>
          <w:szCs w:val="20"/>
          <w:u w:val="single" w:color="auto"/>
          <w:color w:val="auto"/>
        </w:rPr>
        <w:t>Maximum Leverage Ratio</w:t>
      </w:r>
      <w:r>
        <w:rPr>
          <w:rFonts w:ascii="Times New Roman" w:cs="Times New Roman" w:eastAsia="Times New Roman" w:hAnsi="Times New Roman"/>
          <w:sz w:val="20"/>
          <w:szCs w:val="20"/>
          <w:color w:val="auto"/>
        </w:rPr>
        <w:t>. As of the end of each fiscal quarter, permit the Leverage Ratio to exceed sixty percent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w:t>
      </w:r>
    </w:p>
    <w:p>
      <w:pPr>
        <w:spacing w:after="0" w:line="200" w:lineRule="exact"/>
        <w:rPr>
          <w:sz w:val="20"/>
          <w:szCs w:val="20"/>
          <w:color w:val="auto"/>
        </w:rPr>
      </w:pPr>
    </w:p>
    <w:p>
      <w:pPr>
        <w:ind w:left="1740" w:hanging="436"/>
        <w:spacing w:after="0"/>
        <w:tabs>
          <w:tab w:leader="none" w:pos="1740" w:val="left"/>
        </w:tabs>
        <w:numPr>
          <w:ilvl w:val="0"/>
          <w:numId w:val="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Minimum Liquidity Test</w:t>
      </w:r>
      <w:r>
        <w:rPr>
          <w:rFonts w:ascii="Times New Roman" w:cs="Times New Roman" w:eastAsia="Times New Roman" w:hAnsi="Times New Roman"/>
          <w:sz w:val="20"/>
          <w:szCs w:val="20"/>
          <w:color w:val="auto"/>
        </w:rPr>
        <w:t>. Fail to maintain Liquidity in an amount not less than the Minimum Liquidity Amount.</w:t>
      </w:r>
    </w:p>
    <w:p>
      <w:pPr>
        <w:spacing w:after="0" w:line="229"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54" w:val="left"/>
        </w:tabs>
        <w:numPr>
          <w:ilvl w:val="0"/>
          <w:numId w:val="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Minimum Interest Coverage Ratio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 Prior to the end of the fiscal quarter of the Borrower ending on December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 xml:space="preserve">2025, as of the end of each fiscal quarter of the Borrower, fail to maintain an Interest Coverage Ratio greater than 1.50:1.00 and (b) thereafter, </w:t>
      </w:r>
      <w:r>
        <w:rPr>
          <w:rFonts w:ascii="Times New Roman" w:cs="Times New Roman" w:eastAsia="Times New Roman" w:hAnsi="Times New Roman"/>
          <w:sz w:val="20"/>
          <w:szCs w:val="20"/>
          <w:color w:val="000000"/>
          <w:strike w:val="1"/>
        </w:rPr>
        <w:t>As of the end of each fiscal quarter of the Borrower (commencing with the fiscal quarter of the Borrower ending on December 31,</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2025), fail to maintain </w:t>
      </w:r>
      <w:r>
        <w:rPr>
          <w:rFonts w:ascii="Times New Roman" w:cs="Times New Roman" w:eastAsia="Times New Roman" w:hAnsi="Times New Roman"/>
          <w:sz w:val="20"/>
          <w:szCs w:val="20"/>
          <w:u w:val="single" w:color="auto"/>
          <w:color w:val="0000FF"/>
          <w:strike w:val="1"/>
        </w:rPr>
        <w:t>at least one of</w:t>
      </w:r>
      <w:r>
        <w:rPr>
          <w:rFonts w:ascii="Times New Roman" w:cs="Times New Roman" w:eastAsia="Times New Roman" w:hAnsi="Times New Roman"/>
          <w:sz w:val="20"/>
          <w:szCs w:val="20"/>
          <w:color w:val="000000"/>
          <w:strike w:val="1"/>
        </w:rPr>
        <w:t xml:space="preserve"> either (x) an Interest Coverage Ratio greater than 1.50:1.00 or (y) an amount of Unrestricted Cash held by the Loan Parties and their consolidated Subsidiaries in an amount not less than the Consolidated Interest Incurred for the twelve months ended on such date.</w:t>
      </w:r>
    </w:p>
    <w:p>
      <w:pPr>
        <w:spacing w:after="0" w:line="192"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2035" w:val="left"/>
        </w:tabs>
        <w:numPr>
          <w:ilvl w:val="0"/>
          <w:numId w:val="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Minimum Net Worth Test</w:t>
      </w:r>
      <w:r>
        <w:rPr>
          <w:rFonts w:ascii="Times New Roman" w:cs="Times New Roman" w:eastAsia="Times New Roman" w:hAnsi="Times New Roman"/>
          <w:sz w:val="20"/>
          <w:szCs w:val="20"/>
          <w:color w:val="auto"/>
        </w:rPr>
        <w:t>. Fail to maintain minimum Consolidated Tangible Net Worth of at least (a) $</w:t>
      </w:r>
      <w:r>
        <w:rPr>
          <w:rFonts w:ascii="Times New Roman" w:cs="Times New Roman" w:eastAsia="Times New Roman" w:hAnsi="Times New Roman"/>
          <w:sz w:val="20"/>
          <w:szCs w:val="20"/>
          <w:color w:val="FF0000"/>
          <w:strike w:val="1"/>
        </w:rPr>
        <w:t>770,012,600</w:t>
      </w:r>
      <w:r>
        <w:rPr>
          <w:rFonts w:ascii="Times New Roman" w:cs="Times New Roman" w:eastAsia="Times New Roman" w:hAnsi="Times New Roman"/>
          <w:sz w:val="20"/>
          <w:szCs w:val="20"/>
          <w:u w:val="single" w:color="auto"/>
          <w:color w:val="0000FF"/>
        </w:rPr>
        <w:t>825,204,800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sum of (i) 50% of the cumulative Consolidated Net Income of each fiscal quarter where net income is positive, of the Loan Parties and their Restricted Subsidiaries from and after January 1, </w:t>
      </w:r>
      <w:r>
        <w:rPr>
          <w:rFonts w:ascii="Times New Roman" w:cs="Times New Roman" w:eastAsia="Times New Roman" w:hAnsi="Times New Roman"/>
          <w:sz w:val="20"/>
          <w:szCs w:val="20"/>
          <w:color w:val="FF0000"/>
          <w:strike w:val="1"/>
        </w:rPr>
        <w:t>2024</w:t>
      </w:r>
      <w:r>
        <w:rPr>
          <w:rFonts w:ascii="Times New Roman" w:cs="Times New Roman" w:eastAsia="Times New Roman" w:hAnsi="Times New Roman"/>
          <w:sz w:val="20"/>
          <w:szCs w:val="20"/>
          <w:u w:val="single" w:color="auto"/>
          <w:color w:val="0000FF"/>
        </w:rPr>
        <w:t>2026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50% of the net proceeds from any equity offerings of Borrower (other than offerings of Disqualified Stock), in each case, from and after </w:t>
      </w:r>
      <w:r>
        <w:rPr>
          <w:rFonts w:ascii="Times New Roman" w:cs="Times New Roman" w:eastAsia="Times New Roman" w:hAnsi="Times New Roman"/>
          <w:sz w:val="20"/>
          <w:szCs w:val="20"/>
          <w:color w:val="FF0000"/>
          <w:strike w:val="1"/>
        </w:rPr>
        <w:t>First Amendment 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Date</w:t>
      </w:r>
      <w:r>
        <w:rPr>
          <w:rFonts w:ascii="Times New Roman" w:cs="Times New Roman" w:eastAsia="Times New Roman" w:hAnsi="Times New Roman"/>
          <w:sz w:val="20"/>
          <w:szCs w:val="20"/>
          <w:u w:val="single" w:color="auto"/>
          <w:color w:val="0000FF"/>
        </w:rPr>
        <w:t>January 1, 2026</w:t>
      </w:r>
      <w:r>
        <w:rPr>
          <w:rFonts w:ascii="Times New Roman" w:cs="Times New Roman" w:eastAsia="Times New Roman" w:hAnsi="Times New Roman"/>
          <w:sz w:val="20"/>
          <w:szCs w:val="20"/>
          <w:color w:val="000000"/>
        </w:rPr>
        <w:t>.</w:t>
      </w:r>
    </w:p>
    <w:p>
      <w:pPr>
        <w:spacing w:after="0" w:line="19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7.2. Liens and Encumbrances. The Borrower shall not, nor shall it permit any other Loan Party to, grant or suffer or permit to exist any Liens on any of its rights, properties or assets other than Permitted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-192405</wp:posOffset>
            </wp:positionV>
            <wp:extent cx="13970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13" w:right="339" w:bottom="1440" w:gutter="0" w:footer="0" w:header="0"/>
        </w:sectPr>
      </w:pPr>
    </w:p>
    <w:bookmarkStart w:id="103" w:name="page104"/>
    <w:bookmarkEnd w:id="103"/>
    <w:p>
      <w:pPr>
        <w:spacing w:after="0"/>
        <w:tabs>
          <w:tab w:leader="none" w:pos="48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color w:val="auto"/>
        </w:rPr>
        <w:t>Limitation on Fundamental Changes;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-10795</wp:posOffset>
            </wp:positionV>
            <wp:extent cx="1964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64690" cy="8255"/>
                    </a:xfrm>
                    <a:prstGeom prst="rect">
                      <a:avLst/>
                    </a:prstGeom>
                    <a:noFill/>
                  </pic:spPr>
                </pic:pic>
              </a:graphicData>
            </a:graphic>
          </wp:anchor>
        </w:drawing>
      </w:r>
    </w:p>
    <w:p>
      <w:pPr>
        <w:spacing w:after="0" w:line="8" w:lineRule="exact"/>
        <w:rPr>
          <w:sz w:val="20"/>
          <w:szCs w:val="20"/>
          <w:color w:val="auto"/>
        </w:rPr>
      </w:pPr>
    </w:p>
    <w:p>
      <w:pPr>
        <w:ind w:left="1060" w:hanging="416"/>
        <w:spacing w:after="0"/>
        <w:tabs>
          <w:tab w:leader="none" w:pos="1060"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shall not, nor shall it permit any of its Restricted Subsidiaries to, do any of the following:</w:t>
      </w:r>
    </w:p>
    <w:p>
      <w:pPr>
        <w:spacing w:after="0" w:line="200" w:lineRule="exact"/>
        <w:rPr>
          <w:rFonts w:ascii="Times New Roman" w:cs="Times New Roman" w:eastAsia="Times New Roman" w:hAnsi="Times New Roman"/>
          <w:sz w:val="20"/>
          <w:szCs w:val="20"/>
          <w:color w:val="010000"/>
        </w:rPr>
      </w:pPr>
    </w:p>
    <w:p>
      <w:pPr>
        <w:jc w:val="both"/>
        <w:ind w:left="640" w:firstLine="652"/>
        <w:spacing w:after="0" w:line="265" w:lineRule="auto"/>
        <w:tabs>
          <w:tab w:leader="none" w:pos="1673" w:val="left"/>
        </w:tabs>
        <w:numPr>
          <w:ilvl w:val="1"/>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sell, assign, license, lease or otherwise dispose of (whether in one transaction or in a series of transactions) all or any material portion of its assets (whether now owned or hereafter acquired) (including, in each case, by way of a Division), except (A) for the sale or other disposition of inventory in the ordinary course of business, (B) dispositions, sales, or assignments of properties (including a bulk sale of properties held in a geographic region) relating to restructuring or withdrawal from one or more geographic regions;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fair value of such dispositions, sales or transfers in this clause (B) does not exceed in any twelve (12) consecutive months 15% of Consolidated Tangible Net Worth (determined as of the last day of the most recently ended fiscal quarter for which financial statements are available), (C) the sale and leaseback of Model Units, and (D) unless an Event of Default shall have occurred and be continuing and the Administrative Agent has provided written notice to the Borrower that it is prohibiting the transactions otherwise permitted under this clause, (1) any sale or other disposition of Cash Equivalents or obsolete or worn out equipment, in each case, in the ordinary course of business (as reasonably determined by the Borrower) and (2) the sale or other disposition of assets, including Real Property Inventory, no longer used or useful in the conduct of business of the Borrower or any of its Restricted Subsidiaries;</w:t>
      </w:r>
    </w:p>
    <w:p>
      <w:pPr>
        <w:spacing w:after="0" w:line="169" w:lineRule="exact"/>
        <w:rPr>
          <w:rFonts w:ascii="Times New Roman" w:cs="Times New Roman" w:eastAsia="Times New Roman" w:hAnsi="Times New Roman"/>
          <w:sz w:val="19"/>
          <w:szCs w:val="19"/>
          <w:color w:val="010000"/>
        </w:rPr>
      </w:pPr>
    </w:p>
    <w:p>
      <w:pPr>
        <w:ind w:left="640" w:firstLine="652"/>
        <w:spacing w:after="0" w:line="283" w:lineRule="auto"/>
        <w:tabs>
          <w:tab w:leader="none" w:pos="1739" w:val="left"/>
        </w:tabs>
        <w:numPr>
          <w:ilvl w:val="1"/>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merge into or consolidate with any other Person or permit any other Person to merge into or consolidate with it or consummate a Division as the Dividing Person;</w:t>
      </w:r>
    </w:p>
    <w:p>
      <w:pPr>
        <w:spacing w:after="0" w:line="159" w:lineRule="exact"/>
        <w:rPr>
          <w:rFonts w:ascii="Times New Roman" w:cs="Times New Roman" w:eastAsia="Times New Roman" w:hAnsi="Times New Roman"/>
          <w:sz w:val="20"/>
          <w:szCs w:val="20"/>
          <w:color w:val="010000"/>
        </w:rPr>
      </w:pPr>
    </w:p>
    <w:p>
      <w:pPr>
        <w:ind w:left="1780" w:hanging="488"/>
        <w:spacing w:after="0"/>
        <w:tabs>
          <w:tab w:leader="none" w:pos="1780" w:val="left"/>
        </w:tabs>
        <w:numPr>
          <w:ilvl w:val="1"/>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dissolve, liquidate or wind up its business by operation of law or otherwise; or</w:t>
      </w:r>
    </w:p>
    <w:p>
      <w:pPr>
        <w:spacing w:after="0" w:line="215" w:lineRule="exact"/>
        <w:rPr>
          <w:rFonts w:ascii="Times New Roman" w:cs="Times New Roman" w:eastAsia="Times New Roman" w:hAnsi="Times New Roman"/>
          <w:sz w:val="20"/>
          <w:szCs w:val="20"/>
          <w:color w:val="010000"/>
        </w:rPr>
      </w:pPr>
    </w:p>
    <w:p>
      <w:pPr>
        <w:jc w:val="both"/>
        <w:ind w:left="640" w:firstLine="652"/>
        <w:spacing w:after="0" w:line="249" w:lineRule="auto"/>
        <w:tabs>
          <w:tab w:leader="none" w:pos="1915" w:val="left"/>
        </w:tabs>
        <w:numPr>
          <w:ilvl w:val="1"/>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distribute to the stockholders of the Borrower any Capital Stock of any Subsidiary that is a Guarantor;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Subsidiary or any other Person may merge into or consolidate with, consummate a Division, or may dissolve and liquidate into a Loan Party and any Subsidiary that is not a Loan Party may merge into or consolidate with, consummate a Division, or may dissolve and liquidate into another Subsidiary that is not a Loan Party, if (and only if), (1) in the case of a merger or consolidation involving a Loan Party other than the Borrower, the surviving Person is, or upon such merger or consolidation becomes, a Loan Party, (2) in the case of a merger or consolidation involving the Borrower, the Borrower is the surviving Person, (3) in the case of a Subsidiary that is not a Loan Party, such Subsidiary is merging or consolidating with any Subsidiary that is not a Loan Party, (4) in the case of a Division of a Subsidiary that is an LLC and such Subsidiary is the Dividing Person, immediately upon the consummation of the Division, the assets of the applicable Dividing Person are held by one or more Subsidiaries at such time, or, with respect to assets not so held by one or more Subsidiaries, such Division, in the aggregate, would not otherwise result in a disposition prohibited by </w:t>
      </w:r>
      <w:r>
        <w:rPr>
          <w:rFonts w:ascii="Times New Roman" w:cs="Times New Roman" w:eastAsia="Times New Roman" w:hAnsi="Times New Roman"/>
          <w:sz w:val="20"/>
          <w:szCs w:val="20"/>
          <w:u w:val="single" w:color="auto"/>
          <w:color w:val="auto"/>
        </w:rPr>
        <w:t>Section 7.3(a)(i)</w:t>
      </w:r>
      <w:r>
        <w:rPr>
          <w:rFonts w:ascii="Times New Roman" w:cs="Times New Roman" w:eastAsia="Times New Roman" w:hAnsi="Times New Roman"/>
          <w:sz w:val="20"/>
          <w:szCs w:val="20"/>
          <w:color w:val="auto"/>
        </w:rPr>
        <w:t xml:space="preserve"> above, (5) the character of the business of the Borrower and the Subsidiaries on a consolidated basis will not be materially changed by such occurrence, and (6) such occurrence shall not constitute or give rise to (a) an Event of Default or (b) a default (beyond all applicable grace and cure periods) in respect of any of the covenants contained in any agreement to which the Borrower or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0580"/>
          </w:cols>
          <w:pgMar w:left="980" w:top="1413" w:right="339" w:bottom="1440" w:gutter="0" w:footer="0" w:header="0"/>
        </w:sectPr>
      </w:pPr>
    </w:p>
    <w:bookmarkStart w:id="104" w:name="page105"/>
    <w:bookmarkEnd w:id="104"/>
    <w:p>
      <w:pPr>
        <w:ind w:left="1300"/>
        <w:spacing w:after="0"/>
        <w:rPr>
          <w:sz w:val="20"/>
          <w:szCs w:val="20"/>
          <w:color w:val="auto"/>
        </w:rPr>
      </w:pPr>
      <w:r>
        <w:rPr>
          <w:rFonts w:ascii="Times New Roman" w:cs="Times New Roman" w:eastAsia="Times New Roman" w:hAnsi="Times New Roman"/>
          <w:sz w:val="20"/>
          <w:szCs w:val="20"/>
          <w:color w:val="auto"/>
        </w:rPr>
        <w:t>Subsidiary is a party or by which its property may be bound if such default would have a Material Adverse Effect.</w:t>
      </w:r>
    </w:p>
    <w:p>
      <w:pPr>
        <w:spacing w:after="0" w:line="229" w:lineRule="exact"/>
        <w:rPr>
          <w:sz w:val="20"/>
          <w:szCs w:val="20"/>
          <w:color w:val="auto"/>
        </w:rPr>
      </w:pPr>
    </w:p>
    <w:p>
      <w:pPr>
        <w:jc w:val="both"/>
        <w:ind w:firstLine="1304"/>
        <w:spacing w:after="0" w:line="253" w:lineRule="auto"/>
        <w:tabs>
          <w:tab w:leader="none" w:pos="1906"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Borrower shall not, nor shall it permit any of its Restricted Subsidiaries to, acquire another Person (or all or substantially all of the assets of such Person or of a business unit of such Person) unless (i) the primary business of such Person is engaging in homebuilding, land acquisition or land development businesses and businesses that are reasonably related thereto or reasonable extensions thereof and (ii) such acquisition shall not be undertaken by means of a hostile takeover, hostile tender offer or other similar hostile transaction.</w:t>
      </w:r>
    </w:p>
    <w:p>
      <w:pPr>
        <w:spacing w:after="0" w:line="19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 xml:space="preserve">Nothing contained in this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however, shall restrict any sale or other disposition of assets among the Loan Parties and their Subsidiaries which is in the ordinary course of business or is otherwise in compliance with all other provisions of this Agreement.</w:t>
      </w:r>
    </w:p>
    <w:p>
      <w:pPr>
        <w:spacing w:after="0" w:line="17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7.4. Permitted Investments. The Borrower shall not, nor shall it permit any Restricted Subsidiary to, make any Investment or otherwise acquire any interest in any Person,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-173990</wp:posOffset>
            </wp:positionV>
            <wp:extent cx="133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1720" w:hanging="416"/>
        <w:spacing w:after="0"/>
        <w:tabs>
          <w:tab w:leader="none" w:pos="1720" w:val="left"/>
        </w:tabs>
        <w:numPr>
          <w:ilvl w:val="0"/>
          <w:numId w:val="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Investments in or loans or advances to (i) the Borrower and (ii) any Wholly-Owned Subsidiary of the Borrower that is 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Guarantor;</w:t>
      </w:r>
    </w:p>
    <w:p>
      <w:pPr>
        <w:spacing w:after="0" w:line="200" w:lineRule="exact"/>
        <w:rPr>
          <w:sz w:val="20"/>
          <w:szCs w:val="20"/>
          <w:color w:val="auto"/>
        </w:rPr>
      </w:pPr>
    </w:p>
    <w:p>
      <w:pPr>
        <w:ind w:left="1740" w:hanging="436"/>
        <w:spacing w:after="0"/>
        <w:tabs>
          <w:tab w:leader="none" w:pos="1740"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Cash Equivalents (including Permitted Investments);</w:t>
      </w:r>
    </w:p>
    <w:p>
      <w:pPr>
        <w:spacing w:after="0" w:line="229" w:lineRule="exact"/>
        <w:rPr>
          <w:rFonts w:ascii="Times New Roman" w:cs="Times New Roman" w:eastAsia="Times New Roman" w:hAnsi="Times New Roman"/>
          <w:sz w:val="20"/>
          <w:szCs w:val="20"/>
          <w:color w:val="010000"/>
        </w:rPr>
      </w:pPr>
    </w:p>
    <w:p>
      <w:pPr>
        <w:ind w:left="1720" w:hanging="416"/>
        <w:spacing w:after="0"/>
        <w:tabs>
          <w:tab w:leader="none" w:pos="1720"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receivables owing to Borrower or any Guarantor if created or acquired in the ordinary course of business;</w:t>
      </w:r>
    </w:p>
    <w:p>
      <w:pPr>
        <w:spacing w:after="0" w:line="215"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lease, utility and other similar deposits in the ordinary course of business;</w:t>
      </w:r>
    </w:p>
    <w:p>
      <w:pPr>
        <w:spacing w:after="0" w:line="229" w:lineRule="exact"/>
        <w:rPr>
          <w:rFonts w:ascii="Times New Roman" w:cs="Times New Roman" w:eastAsia="Times New Roman" w:hAnsi="Times New Roman"/>
          <w:sz w:val="20"/>
          <w:szCs w:val="20"/>
          <w:color w:val="010000"/>
        </w:rPr>
      </w:pPr>
    </w:p>
    <w:p>
      <w:pPr>
        <w:ind w:firstLine="1304"/>
        <w:spacing w:after="0" w:line="283" w:lineRule="auto"/>
        <w:tabs>
          <w:tab w:leader="none" w:pos="1778"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made by Borrower or any Guarantor for consideration consisting only of Capital Stock of the Borrower (other than Disqualified Stock);</w:t>
      </w:r>
    </w:p>
    <w:p>
      <w:pPr>
        <w:spacing w:after="0" w:line="146" w:lineRule="exact"/>
        <w:rPr>
          <w:rFonts w:ascii="Times New Roman" w:cs="Times New Roman" w:eastAsia="Times New Roman" w:hAnsi="Times New Roman"/>
          <w:sz w:val="20"/>
          <w:szCs w:val="20"/>
          <w:color w:val="010000"/>
        </w:rPr>
      </w:pPr>
    </w:p>
    <w:p>
      <w:pPr>
        <w:ind w:left="1700" w:hanging="396"/>
        <w:spacing w:after="0"/>
        <w:tabs>
          <w:tab w:leader="none" w:pos="1700"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guarantees of performance obligations in the ordinary course of business;</w:t>
      </w:r>
    </w:p>
    <w:p>
      <w:pPr>
        <w:spacing w:after="0" w:line="229"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Investments outstanding on the Closing Date, as set forth on </w:t>
      </w:r>
      <w:r>
        <w:rPr>
          <w:rFonts w:ascii="Times New Roman" w:cs="Times New Roman" w:eastAsia="Times New Roman" w:hAnsi="Times New Roman"/>
          <w:sz w:val="20"/>
          <w:szCs w:val="20"/>
          <w:u w:val="single" w:color="auto"/>
          <w:color w:val="auto"/>
        </w:rPr>
        <w:t>Schedule 7.4</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Investments permitted by </w:t>
      </w:r>
      <w:r>
        <w:rPr>
          <w:rFonts w:ascii="Times New Roman" w:cs="Times New Roman" w:eastAsia="Times New Roman" w:hAnsi="Times New Roman"/>
          <w:sz w:val="20"/>
          <w:szCs w:val="20"/>
          <w:u w:val="single" w:color="auto"/>
          <w:color w:val="auto"/>
        </w:rPr>
        <w:t>Section 7.3(b)</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010000"/>
        </w:rPr>
      </w:pPr>
    </w:p>
    <w:p>
      <w:pPr>
        <w:ind w:firstLine="1304"/>
        <w:spacing w:after="0" w:line="269" w:lineRule="auto"/>
        <w:tabs>
          <w:tab w:leader="none" w:pos="1753"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 mortgages, receivables, other securities or ownership interests, loans or advances made in connection with a strategy to acquire land or other homebuilding assets through foreclosure or other exercise of remedies;</w:t>
      </w:r>
    </w:p>
    <w:p>
      <w:pPr>
        <w:spacing w:after="0" w:line="172" w:lineRule="exact"/>
        <w:rPr>
          <w:rFonts w:ascii="Times New Roman" w:cs="Times New Roman" w:eastAsia="Times New Roman" w:hAnsi="Times New Roman"/>
          <w:sz w:val="20"/>
          <w:szCs w:val="20"/>
          <w:color w:val="010000"/>
        </w:rPr>
      </w:pPr>
    </w:p>
    <w:p>
      <w:pPr>
        <w:ind w:firstLine="1304"/>
        <w:spacing w:after="0" w:line="283" w:lineRule="auto"/>
        <w:tabs>
          <w:tab w:leader="none" w:pos="1786"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 securities of trade creditors or customers received pursuant to any plan of reorganization or similar arrangement upon the bankruptcy or insolvency of such trade creditors or customers;</w:t>
      </w:r>
    </w:p>
    <w:p>
      <w:pPr>
        <w:spacing w:after="0" w:line="146" w:lineRule="exact"/>
        <w:rPr>
          <w:rFonts w:ascii="Times New Roman" w:cs="Times New Roman" w:eastAsia="Times New Roman" w:hAnsi="Times New Roman"/>
          <w:sz w:val="20"/>
          <w:szCs w:val="20"/>
          <w:color w:val="010000"/>
        </w:rPr>
      </w:pPr>
    </w:p>
    <w:p>
      <w:pPr>
        <w:ind w:left="1760" w:hanging="456"/>
        <w:spacing w:after="0"/>
        <w:tabs>
          <w:tab w:leader="none" w:pos="1760" w:val="left"/>
        </w:tabs>
        <w:numPr>
          <w:ilvl w:val="0"/>
          <w:numId w:val="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Investments or securities received in settlement of debts owing to Borrower or any Guarantor in the ordinary course of</w:t>
      </w:r>
    </w:p>
    <w:p>
      <w:pPr>
        <w:spacing w:after="0" w:line="39"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business;</w:t>
      </w:r>
    </w:p>
    <w:p>
      <w:pPr>
        <w:spacing w:after="0" w:line="200" w:lineRule="exact"/>
        <w:rPr>
          <w:rFonts w:ascii="Times New Roman" w:cs="Times New Roman" w:eastAsia="Times New Roman" w:hAnsi="Times New Roman"/>
          <w:sz w:val="19"/>
          <w:szCs w:val="19"/>
          <w:color w:val="010000"/>
        </w:rPr>
      </w:pPr>
    </w:p>
    <w:p>
      <w:pPr>
        <w:ind w:firstLine="1304"/>
        <w:spacing w:after="0" w:line="283" w:lineRule="auto"/>
        <w:tabs>
          <w:tab w:leader="none" w:pos="1735"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loans to employees, agents, customers or suppliers in the ordinary course of business not to exceed $5,000,000 in the aggregate at any time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13" w:right="339" w:bottom="1440" w:gutter="0" w:footer="0" w:header="0"/>
        </w:sectPr>
      </w:pPr>
    </w:p>
    <w:bookmarkStart w:id="105" w:name="page106"/>
    <w:bookmarkEnd w:id="105"/>
    <w:p>
      <w:pPr>
        <w:jc w:val="both"/>
        <w:ind w:firstLine="1304"/>
        <w:spacing w:after="0" w:line="261" w:lineRule="auto"/>
        <w:tabs>
          <w:tab w:leader="none" w:pos="1809"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 Persons that are in the business of homebuilding, land acquisition or land development businesses and businesses that are reasonably related thereto or reasonable extensions thereof not to exceed in the aggregate amount outstanding at any time 20% of Consolidated Tangible Net Worth;</w:t>
      </w:r>
    </w:p>
    <w:p>
      <w:pPr>
        <w:spacing w:after="0" w:line="181" w:lineRule="exact"/>
        <w:rPr>
          <w:rFonts w:ascii="Times New Roman" w:cs="Times New Roman" w:eastAsia="Times New Roman" w:hAnsi="Times New Roman"/>
          <w:sz w:val="20"/>
          <w:szCs w:val="20"/>
          <w:color w:val="010000"/>
        </w:rPr>
      </w:pPr>
    </w:p>
    <w:p>
      <w:pPr>
        <w:jc w:val="both"/>
        <w:ind w:right="20" w:firstLine="1304"/>
        <w:spacing w:after="0" w:line="261" w:lineRule="auto"/>
        <w:tabs>
          <w:tab w:leader="none" w:pos="1727"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 Subsidiaries that are not Guarantors or in Joint Ventures (including guarantees of Indebtedness and other obligations of Joint Ventures or Subsidiaries that are not Guarantors) in an aggregate amount at any time outstanding not to exceed 5% of Consolidated Tangible Net Worth; and</w:t>
      </w:r>
    </w:p>
    <w:p>
      <w:pPr>
        <w:spacing w:after="0" w:line="181"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other Investments in the aggregate amount not to exceed $20,000,000 at any time outstanding.</w:t>
      </w:r>
    </w:p>
    <w:p>
      <w:pPr>
        <w:spacing w:after="0" w:line="21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7.5. No Margin Stock. The Borrower shall not, nor shall it permit any Restricted Subsidiary to, use or permit to be used any of the proceeds of the Loans or other extensions of credit hereunder to purchase or carry any “margin stock” (as defined in Regulation 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-179070</wp:posOffset>
            </wp:positionV>
            <wp:extent cx="10128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7.6. Burdensome Agreements. The Borrower shall not, nor shall it permit any of its Restricted Subsidiaries to, enter into any Contractual Obligation that limits the ability (i) of any Restricted Subsidiary to make Restricted Payments to the Borrower or any Guarantor or to otherwise transfer property to the Borrower or any Guarantor, (ii) of any Restricted Subsidiary to guarantee the Indebtedness of the Borrower or (iii) of the Borrower or any Restricted Subsidiary to create, incur, assume or suffer to exist Liens on property of such Person to secure its obligations under the Loan Documents to which it is a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shall not prohibit the requirement of granting a pari passu Lien in favor of any holder of any public Indebtedness if the Obligations hereunder are required to be secured;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the foregoing shall not apply to (v) restrictions imposed by law or this Agreement, (w) customary restrictions and conditions contained in agreements relating to a sale of a Subsidiary or all or substantially all of its assets pending such sale;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and conditions apply only to the Subsidiary that is sold and such sale is permitted hereunder, (x) customary provisions in leases, partnership agreements, limited liability company organizational governance documents, joint venture agreements and other similar agreements entered into in the ordinary course of business that restrict the transfer or encumbrance of leasehold interests or ownership interests in such partnership, limited liability company, joint venture or similar Person, (y) customary restrictions or conditions imposed by any agreement relating to any secured Indebtedness permitted to be incurred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or conditions apply only to the property or assets securing such secured Indebtedness, or the proceeds thereof and (z) with respect to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customary provisions in leases restricting the assignment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-2132965</wp:posOffset>
            </wp:positionV>
            <wp:extent cx="14763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76375" cy="8255"/>
                    </a:xfrm>
                    <a:prstGeom prst="rect">
                      <a:avLst/>
                    </a:prstGeom>
                    <a:noFill/>
                  </pic:spPr>
                </pic:pic>
              </a:graphicData>
            </a:graphic>
          </wp:anchor>
        </w:drawing>
      </w: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-24765</wp:posOffset>
            </wp:positionV>
            <wp:extent cx="6769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7.8. Prepayment of Indebtedness. If a Default has occurred and is continuing or an acceleration of the indebtedness under this Agreement has occurred, the Borrower shall not voluntarily prepay, or permit any Guarantor voluntarily to prepay, the principal amount, in whole or in part, of any Indebtedness other than (a) Indebtedness owed to each Lender hereunder, (b) Indebtedness which ranks pari passu with the Indebtedness incurred under this Agreement which is or becomes due and owing whether by reason of acceleration or otherwise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-478155</wp:posOffset>
            </wp:positionV>
            <wp:extent cx="16344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34490" cy="8890"/>
                    </a:xfrm>
                    <a:prstGeom prst="rect">
                      <a:avLst/>
                    </a:prstGeom>
                    <a:noFill/>
                  </pic:spPr>
                </pic:pic>
              </a:graphicData>
            </a:graphic>
          </wp:anchor>
        </w:drawing>
      </w:r>
    </w:p>
    <w:p>
      <w:pPr>
        <w:ind w:firstLine="8"/>
        <w:spacing w:after="0" w:line="246" w:lineRule="auto"/>
        <w:tabs>
          <w:tab w:leader="none" w:pos="27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which is exchanged for, or converted into, Capital Stock other than Disqualified Stock (or securities to acquire Capital Stock other than Disqualified Stock) of the Borrower.</w:t>
      </w:r>
    </w:p>
    <w:p>
      <w:pPr>
        <w:spacing w:after="0" w:line="1" w:lineRule="exact"/>
        <w:rPr>
          <w:rFonts w:ascii="Times New Roman" w:cs="Times New Roman" w:eastAsia="Times New Roman" w:hAnsi="Times New Roman"/>
          <w:sz w:val="20"/>
          <w:szCs w:val="20"/>
          <w:color w:val="auto"/>
        </w:rPr>
      </w:pPr>
    </w:p>
    <w:p>
      <w:pPr>
        <w:jc w:val="both"/>
        <w:ind w:firstLine="648"/>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7.9. Pension Plan. The Borrower shall not enter into, maintain or make contributions to, or permit any Subsidiary to enter into, maintain or make contributions to, directly or indirectly, any plan that is subject to Title IV of ERISA, except for defined benefit pension plans of any Persons formed or acquired, directly or indirectly, by Borrower or any Subsidiary as permitted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-346075</wp:posOffset>
            </wp:positionV>
            <wp:extent cx="8299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9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13" w:right="339" w:bottom="1440" w:gutter="0" w:footer="0" w:header="0"/>
        </w:sectPr>
      </w:pPr>
    </w:p>
    <w:bookmarkStart w:id="106" w:name="page107"/>
    <w:bookmarkEnd w:id="106"/>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7.10. Transactions with Affiliates. The Borrower shall not enter into any transaction (including, without limitation, the purchase or sale of any property or service) with, or make any payment or transfer to, any Affiliate (or permit any Restricted Subsidiary to do any of the foregoing), except in the ordinary course of business and pursuant to the reasonable requirements of the Borrower’s or a Restricted Subsidiary’s business and upon fair and reasonable terms no less favorable to the Borrower or such Restricted Subsidiary than the Borrower or such Restricted Subsidiary would obtain in a comparable arms’-length transaction;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restrictions shall not apply to (a) transactions exclusively between or among Loan Parties and (b) transactions involving the purchase, sale or exchange of property having an aggregate value of $10,000,000 or less in any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-929640</wp:posOffset>
            </wp:positionV>
            <wp:extent cx="15360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36065" cy="8255"/>
                    </a:xfrm>
                    <a:prstGeom prst="rect">
                      <a:avLst/>
                    </a:prstGeom>
                    <a:noFill/>
                  </pic:spPr>
                </pic:pic>
              </a:graphicData>
            </a:graphic>
          </wp:anchor>
        </w:drawing>
      </w: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7.11. Foreign Assets Control Regulations. The Borrower shall not use or permit the use the proceeds of any Loan or any extension of credit in any manner that will violate the Trading with the Enemy Act, as amended, or any of the foreign assets control regulations of the United States Treasury Department (31 CFR, Subtitle B, Chapter V, as amended) or the Anti-Terrorism Order or any enabling legislation or executive order relating to any of the same. Without limiting the foregoing, neither the Borrowers nor any other Loan Party will permit itself nor any of its Subsidiaries to (a) become a blocked person described in Section 1 of the Anti-Terrorism Order or (b) engage in any dealings or transactions or be otherwise associated with any person who is a blocked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-780415</wp:posOffset>
            </wp:positionV>
            <wp:extent cx="19399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ind w:left="3480"/>
        <w:spacing w:after="0"/>
        <w:tabs>
          <w:tab w:leader="none" w:pos="468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19"/>
          <w:szCs w:val="19"/>
          <w:color w:val="auto"/>
        </w:rPr>
        <w:t>EVENTS OF DEFAULT; REMEDIES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any of the following events shall occur and be continuing:</w:t>
      </w:r>
    </w:p>
    <w:p>
      <w:pPr>
        <w:spacing w:after="0" w:line="229" w:lineRule="exact"/>
        <w:rPr>
          <w:sz w:val="20"/>
          <w:szCs w:val="20"/>
          <w:color w:val="auto"/>
        </w:rPr>
      </w:pPr>
    </w:p>
    <w:p>
      <w:pPr>
        <w:jc w:val="both"/>
        <w:ind w:firstLine="1304"/>
        <w:spacing w:after="0" w:line="258" w:lineRule="auto"/>
        <w:tabs>
          <w:tab w:leader="none" w:pos="172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shall fail to pay any principal of any Loan or Reimbursement Obligation when due in accordance with the terms hereof; or the Borrower shall fail to pay any interest on any Loan, Reimbursement Obligation, any fees hereunder or any other amount payable hereunder or under any other Loan Document within five (5) Business Days after any such interest, fees or other amounts becomes due in accordance with the terms hereof; or</w:t>
      </w:r>
    </w:p>
    <w:p>
      <w:pPr>
        <w:spacing w:after="0" w:line="172"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4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be false or misleading in any material respect (or, with respect to any representations and warranties which are qualified by materiality or reference to Material Adverse Effect, in all respects) when made or deemed made; or</w:t>
      </w:r>
    </w:p>
    <w:p>
      <w:pPr>
        <w:spacing w:after="0" w:line="185" w:lineRule="exact"/>
        <w:rPr>
          <w:rFonts w:ascii="Times New Roman" w:cs="Times New Roman" w:eastAsia="Times New Roman" w:hAnsi="Times New Roman"/>
          <w:sz w:val="20"/>
          <w:szCs w:val="20"/>
          <w:color w:val="010000"/>
        </w:rPr>
      </w:pPr>
    </w:p>
    <w:p>
      <w:pPr>
        <w:ind w:firstLine="1304"/>
        <w:spacing w:after="0" w:line="269" w:lineRule="auto"/>
        <w:tabs>
          <w:tab w:leader="none" w:pos="1713"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Loan Party shall default in the observance or performance of any covenant contained in Sections </w:t>
      </w:r>
      <w:r>
        <w:rPr>
          <w:rFonts w:ascii="Times New Roman" w:cs="Times New Roman" w:eastAsia="Times New Roman" w:hAnsi="Times New Roman"/>
          <w:sz w:val="20"/>
          <w:szCs w:val="20"/>
          <w:u w:val="single" w:color="auto"/>
          <w:color w:val="auto"/>
        </w:rPr>
        <w:t>6.1(l)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or</w:t>
      </w:r>
    </w:p>
    <w:p>
      <w:pPr>
        <w:spacing w:after="0" w:line="172"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81"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Loan Party shall default in the observance or performance of any other covenant contained in this Agreement or any other Loan Document (other than as provided in </w:t>
      </w:r>
      <w:r>
        <w:rPr>
          <w:rFonts w:ascii="Times New Roman" w:cs="Times New Roman" w:eastAsia="Times New Roman" w:hAnsi="Times New Roman"/>
          <w:sz w:val="20"/>
          <w:szCs w:val="20"/>
          <w:u w:val="single" w:color="auto"/>
          <w:color w:val="auto"/>
        </w:rPr>
        <w:t>paragraphs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and such default shall continue unremedied for a period of thirty (30) days; or</w:t>
      </w:r>
    </w:p>
    <w:p>
      <w:pPr>
        <w:spacing w:after="0" w:line="181"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26"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Loan Party shall (i) default in making any payment of any principal of any Indebtedness (including any Contingent Obligation, but excluding the Loans and Non-Recourse Indebtedness) beyond any applicable period of grace, or (ii) default in making any payment of any interest on any such Indebtedness or Contingent Obligation set forth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beyond the period of grace, if any, provided in the instrument or agreement under which such Indebtedness was created, or (iii) default in the observance or performance of any other agreement or condition relating to any such Indebtedness or Contingent Obligations set forth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contained in any instrument 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13" w:right="339" w:bottom="1440" w:gutter="0" w:footer="0" w:header="0"/>
        </w:sectPr>
      </w:pPr>
    </w:p>
    <w:bookmarkStart w:id="107" w:name="page108"/>
    <w:bookmarkEnd w:id="107"/>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with the giving of notice if required, such Indebtedness to become due prior to its stated maturity or (in the case of any such Indebtedness constituting a Contingent Obligation) to become payable;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default, event or condition described in </w:t>
      </w:r>
      <w:r>
        <w:rPr>
          <w:rFonts w:ascii="Times New Roman" w:cs="Times New Roman" w:eastAsia="Times New Roman" w:hAnsi="Times New Roman"/>
          <w:sz w:val="19"/>
          <w:szCs w:val="19"/>
          <w:u w:val="single" w:color="auto"/>
          <w:color w:val="auto"/>
        </w:rPr>
        <w:t>clause</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 xml:space="preserve"> shall not at any time constitute an Event of Default unless, at such time, one or more defaults, events or conditions of the type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 xml:space="preserve"> shall have occurred and be continuing with respect to Indebtedness or Contingent Obligation the aggregate outstanding principal amount of which is $25,000,000 or more; or</w:t>
      </w:r>
    </w:p>
    <w:p>
      <w:pPr>
        <w:spacing w:after="0" w:line="174" w:lineRule="exact"/>
        <w:rPr>
          <w:sz w:val="20"/>
          <w:szCs w:val="20"/>
          <w:color w:val="auto"/>
        </w:rPr>
      </w:pPr>
    </w:p>
    <w:p>
      <w:pPr>
        <w:jc w:val="both"/>
        <w:ind w:firstLine="1304"/>
        <w:spacing w:after="0" w:line="264" w:lineRule="auto"/>
        <w:tabs>
          <w:tab w:leader="none" w:pos="1698" w:val="left"/>
        </w:tabs>
        <w:numPr>
          <w:ilvl w:val="1"/>
          <w:numId w:val="9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 the Borrower or any other Loan Party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(ii) there shall be commenced against the Borrower or any other Loan Party any case, proceeding or other action of a nature referred to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above that</w:t>
      </w:r>
    </w:p>
    <w:p>
      <w:pPr>
        <w:spacing w:after="0" w:line="4" w:lineRule="exact"/>
        <w:rPr>
          <w:rFonts w:ascii="Times New Roman" w:cs="Times New Roman" w:eastAsia="Times New Roman" w:hAnsi="Times New Roman"/>
          <w:sz w:val="19"/>
          <w:szCs w:val="19"/>
          <w:color w:val="010000"/>
        </w:rPr>
      </w:pPr>
    </w:p>
    <w:p>
      <w:pPr>
        <w:jc w:val="both"/>
        <w:ind w:firstLine="8"/>
        <w:spacing w:after="0" w:line="249" w:lineRule="auto"/>
        <w:tabs>
          <w:tab w:leader="none" w:pos="34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results in the entry of an order for relief or any such adjudication or appointment or (B) remains un-dismissed or undischarged for a period of 60 days; or (iii) there shall be commenced against the Borrower or any other Loan Party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Borrower or any other Loan Party shall take any action in furtherance of, or indicating its consent to, approval of, or acquiescence in, any of the acts set forth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above; or (v) the Borrower or any other Loan Party shall generally not, or shall be unable to, or shall admit in writing its inability to, pay its debts as they become due; or (vi) the Borrower or any other Loan Party shall make a general assignment for the benefit of its creditors; or</w:t>
      </w:r>
    </w:p>
    <w:p>
      <w:pPr>
        <w:spacing w:after="0" w:line="18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54" w:val="left"/>
        </w:tabs>
        <w:numPr>
          <w:ilvl w:val="1"/>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 an ERISA Event shall have occurred, (ii) a trustee shall be appointed by a United States district court to administer any Plan, (iii) the PBGC shall institute proceedings to terminate any Plan(s), (iv) any Loan Party or any ERISA Affiliate shall have been notified by the sponsor of a Multiemployer Plan that it has incurred or will be assessed withdrawal liability (within the meaning of Part I of Subtitle E of Title IV of ERISA) to such Multiemployer Plan and such entity does not have reasonable grounds for contesting such withdrawal liability or is not contesting such withdrawal liability in a timely and appropriate manner; or (v) any other event or condition shall occur or exist with respect to a Plan; and in each case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above, such event or condition, together with all other such events or conditions, if any, could reasonably be expected to result in a Material Adverse Effect; or</w:t>
      </w:r>
    </w:p>
    <w:p>
      <w:pPr>
        <w:spacing w:after="0" w:line="192"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856" w:val="left"/>
        </w:tabs>
        <w:numPr>
          <w:ilvl w:val="1"/>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one or more final non-appealable judgments or decrees shall be entered against any Loan Party involving in the aggregate a liability of more than $25,000,000, and all such judgments or decrees shall not have been paid, vacated, discharged, stayed or bonded pending appeal within 30 days from the entry thereof; or</w:t>
      </w:r>
    </w:p>
    <w:p>
      <w:pPr>
        <w:spacing w:after="0" w:line="167" w:lineRule="exact"/>
        <w:rPr>
          <w:rFonts w:ascii="Times New Roman" w:cs="Times New Roman" w:eastAsia="Times New Roman" w:hAnsi="Times New Roman"/>
          <w:sz w:val="20"/>
          <w:szCs w:val="20"/>
          <w:color w:val="010000"/>
        </w:rPr>
      </w:pPr>
    </w:p>
    <w:p>
      <w:pPr>
        <w:jc w:val="both"/>
        <w:ind w:firstLine="1304"/>
        <w:spacing w:after="0" w:line="268" w:lineRule="auto"/>
        <w:tabs>
          <w:tab w:leader="none" w:pos="1739" w:val="left"/>
        </w:tabs>
        <w:numPr>
          <w:ilvl w:val="1"/>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Loan Party shall be found responsible for (A) the release by any Loan Party, any of its Subsidiaries or any other Person of any Hazardous Substance into the environment, or (B) any violation of any Environmental Law or any federal, state or local health or safety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1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color w:val="auto"/>
        </w:rPr>
        <w:t xml:space="preserve">which, in either case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could reasonably be expected to have a Material Adverse Effect; or</w:t>
      </w:r>
    </w:p>
    <w:p>
      <w:pPr>
        <w:spacing w:after="0" w:line="229" w:lineRule="exact"/>
        <w:rPr>
          <w:sz w:val="20"/>
          <w:szCs w:val="20"/>
          <w:color w:val="auto"/>
        </w:rPr>
      </w:pPr>
    </w:p>
    <w:p>
      <w:pPr>
        <w:jc w:val="both"/>
        <w:ind w:firstLine="1304"/>
        <w:spacing w:after="0" w:line="261" w:lineRule="auto"/>
        <w:tabs>
          <w:tab w:leader="none" w:pos="1727"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of the Loan Documents (including the guarantee contained in Section 1 of the Guarantee Agreement) shall cease, for any reason, to be in full force and effect or any Loan Party or any Affiliate of any Loan Party shall so assert (excluding release of any Guarantor from its guarantee in accordance with the Loan Documents); or</w:t>
      </w:r>
    </w:p>
    <w:p>
      <w:pPr>
        <w:spacing w:after="0" w:line="167"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there shall occur any Change of Control of the Borrower;</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then, and in any such event, (A) if such event is an Event of Default specified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paragraph (f)</w:t>
      </w:r>
      <w:r>
        <w:rPr>
          <w:rFonts w:ascii="Times New Roman" w:cs="Times New Roman" w:eastAsia="Times New Roman" w:hAnsi="Times New Roman"/>
          <w:sz w:val="19"/>
          <w:szCs w:val="19"/>
          <w:color w:val="auto"/>
        </w:rPr>
        <w:t xml:space="preserve"> above with respect to the Borrower, automatically the Commitments shall immediately terminate and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shall immediately become due and payable, and</w:t>
      </w:r>
    </w:p>
    <w:p>
      <w:pPr>
        <w:spacing w:after="0" w:line="2" w:lineRule="exact"/>
        <w:rPr>
          <w:sz w:val="20"/>
          <w:szCs w:val="20"/>
          <w:color w:val="auto"/>
        </w:rPr>
      </w:pPr>
    </w:p>
    <w:p>
      <w:pPr>
        <w:jc w:val="both"/>
        <w:ind w:firstLine="8"/>
        <w:spacing w:after="0" w:line="248" w:lineRule="auto"/>
        <w:tabs>
          <w:tab w:leader="none" w:pos="33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event is any other Event of Default, either or both of the following actions may be taken: (i) with the consent of the Required Lenders, the Administrative Agent may, or upon the request of the Required Lenders, the Administrative Agent shall, by notice to the Borrower declare the Commitments to be terminated forthwith, whereupon the Commitments shall immediately terminate; and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With respect to all Letters of Credit with respect to which presentment for honor shall not have occurred at the time of an acceleration pursuant to this paragraph, the Borrower shall at such time deposit in a cash collateral account opened by the Administrative Agent an amount equal to 103% of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After all such Letters of Credit shall have expired or been fully drawn upon, all Reimbursement Obligations shall have been satisfied and all other obligations of the Borrower hereunder and under the other Loan Documents shall have been paid in full, the balance, if any, in such cash collateral account shall be returned to the Borrower (or such other Person as may be lawfully entitled thereto). Except as expressly provided above in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presentment, demand, protest and all other notices of any kind are hereby expressly waived by the Borrower.</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On and after the occurrence of an Event of Default, the Administrative Agent shall apply all payments in respect of any Obligations in the following order: (i)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 Obligations in respect of (A) any fees, expenses, reimbursements or indemnities then due to the Administrative Agent, (B) any fees (other than commitment fees and Letter of Credit fees), expenses, reimbursements or indemnities then due to the Lenders and Issuing Lenders and (C) to pay commitment fees, Letter of Credit fees and interest due in respect of Loans and Letters of Credit; (ii)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ratable payment or prepayment of principal outstanding on Loans and Letters of Credit; and (iii)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the ratable payment of all other Obligations. On or after the occurrence of an Event of Default, all principal payments in respect of Loans shall be applied: (i)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repay outstanding ABR Loans and (ii)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repay outstanding Term Benchmark Loans and, if applicable, RFR Loans, with those that have the earlier expiring Interest Period being 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13" w:right="339" w:bottom="1440" w:gutter="0" w:footer="0" w:header="0"/>
        </w:sectPr>
      </w:pPr>
    </w:p>
    <w:bookmarkStart w:id="109" w:name="page110"/>
    <w:bookmarkEnd w:id="109"/>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prior to those that have later expiring Interest Periods. The order of priority set forth in this paragraph and the related provisions of this Agreement are set forth solely to determine the rights and priorities of the Administrative Agent, the Lenders, and the Issuing Lenders as among themselves. The order of priority set forth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may be changed only with the prior written consent of the Administrative Agent and the order of priority of payments in respect of Letters of Credit may be changed only with the prior written consent of the Issuing Lenders.</w:t>
      </w:r>
    </w:p>
    <w:p>
      <w:pPr>
        <w:spacing w:after="0" w:line="192"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19"/>
          <w:szCs w:val="19"/>
          <w:color w:val="auto"/>
        </w:rPr>
        <w:t>THE AGENTS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9.1. Appointment.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-1076960</wp:posOffset>
            </wp:positionV>
            <wp:extent cx="8077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9.2. Delegation of Duties.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 in-fact selected by it with reasonable care. The Syndication Agents shall not have any duties or responsibilities hereunder in their capacity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-482600</wp:posOffset>
            </wp:positionV>
            <wp:extent cx="12750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5080" cy="8255"/>
                    </a:xfrm>
                    <a:prstGeom prst="rect">
                      <a:avLst/>
                    </a:prstGeom>
                    <a:noFill/>
                  </pic:spPr>
                </pic:pic>
              </a:graphicData>
            </a:graphic>
          </wp:anchor>
        </w:drawing>
      </w: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9.3. Exculpatory Provisions. Neither Administrative Agent nor any of its officers, directors, employees, agents, advisors,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 The motivations of the Administrative Agent are commercial in nature and not to invest in the general performance or operations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-1978660</wp:posOffset>
            </wp:positionV>
            <wp:extent cx="13017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9.4. Reliance by Administrative Agent. The Administrative Agent shall be entitled to rely, and shall be fully protected in relying, upon any instrument, writing, resolution, notice, consent, certificate, affidavit, letter, telecopy or email message, statement, order or other document or conversation believed by it to be genuine and correct and to have been signed, sent or made by the proper Person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-336550</wp:posOffset>
            </wp:positionV>
            <wp:extent cx="18884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88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13" w:right="339" w:bottom="1440" w:gutter="0" w:footer="0" w:header="0"/>
        </w:sectPr>
      </w:pPr>
    </w:p>
    <w:bookmarkStart w:id="110" w:name="page111"/>
    <w:bookmarkEnd w:id="110"/>
    <w:p>
      <w:pPr>
        <w:jc w:val="both"/>
        <w:spacing w:after="0" w:line="249" w:lineRule="auto"/>
        <w:rPr>
          <w:sz w:val="20"/>
          <w:szCs w:val="20"/>
          <w:color w:val="auto"/>
        </w:rPr>
      </w:pPr>
      <w:r>
        <w:rPr>
          <w:rFonts w:ascii="Times New Roman" w:cs="Times New Roman" w:eastAsia="Times New Roman" w:hAnsi="Times New Roman"/>
          <w:sz w:val="20"/>
          <w:szCs w:val="20"/>
          <w:color w:val="auto"/>
        </w:rPr>
        <w:t>Persons and upon advice and statements of legal counsel (including counsel to the Borrower rendered in any legal opinion for the benefit of the Administrative Agent or any Lender),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Loans.</w:t>
      </w:r>
    </w:p>
    <w:p>
      <w:pPr>
        <w:spacing w:after="0" w:line="1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9.5. Notice of Default. The Administrative Agent shall not be deemed to have knowledge or notice of the occurrence of any Default or Event of Default unless the Administrative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-1076960</wp:posOffset>
            </wp:positionV>
            <wp:extent cx="11074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ind w:left="660"/>
        <w:spacing w:after="0"/>
        <w:tabs>
          <w:tab w:leader="none" w:pos="140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20"/>
          <w:szCs w:val="20"/>
          <w:color w:val="auto"/>
        </w:rPr>
        <w:t>Non-Reliance on Administrative Agent and Other Lenders. Each Lender expressly acknowledges that neither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-24765</wp:posOffset>
            </wp:positionV>
            <wp:extent cx="34905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90595" cy="8255"/>
                    </a:xfrm>
                    <a:prstGeom prst="rect">
                      <a:avLst/>
                    </a:prstGeom>
                    <a:noFill/>
                  </pic:spPr>
                </pic:pic>
              </a:graphicData>
            </a:graphic>
          </wp:anchor>
        </w:drawing>
      </w:r>
    </w:p>
    <w:p>
      <w:pPr>
        <w:jc w:val="both"/>
        <w:spacing w:after="0" w:line="247" w:lineRule="auto"/>
        <w:rPr>
          <w:sz w:val="20"/>
          <w:szCs w:val="20"/>
          <w:color w:val="auto"/>
        </w:rPr>
      </w:pPr>
      <w:r>
        <w:rPr>
          <w:rFonts w:ascii="Times New Roman" w:cs="Times New Roman" w:eastAsia="Times New Roman" w:hAnsi="Times New Roman"/>
          <w:sz w:val="20"/>
          <w:szCs w:val="20"/>
          <w:color w:val="auto"/>
        </w:rPr>
        <w:t>Administrative Agent nor any of their respective officers, directors, employees, agents, advisors,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any arranger of this credit facility or any other Lender and their respective Related Parties,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the Administrative Agent, any arranger of this credit facility or any other Lender and their respective Related Parties,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advisors, attorneys-in-fact or affiliates.</w:t>
      </w:r>
    </w:p>
    <w:p>
      <w:pPr>
        <w:spacing w:after="0" w:line="13"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0"/>
          <w:szCs w:val="20"/>
          <w:color w:val="auto"/>
        </w:rPr>
        <w:t>9.7. Indemnification. The Lenders agree to indemnify the Administrative Agent and its officers, directors, employees, affiliates, agents, advisors and controlling persons (each, an “</w:t>
      </w:r>
      <w:r>
        <w:rPr>
          <w:rFonts w:ascii="Times New Roman" w:cs="Times New Roman" w:eastAsia="Times New Roman" w:hAnsi="Times New Roman"/>
          <w:sz w:val="20"/>
          <w:szCs w:val="20"/>
          <w:u w:val="single" w:color="auto"/>
          <w:color w:val="auto"/>
        </w:rPr>
        <w:t>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-194945</wp:posOffset>
            </wp:positionV>
            <wp:extent cx="9709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70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13" w:right="339" w:bottom="1440" w:gutter="0" w:footer="0" w:header="0"/>
        </w:sectPr>
      </w:pPr>
    </w:p>
    <w:bookmarkStart w:id="111" w:name="page112"/>
    <w:bookmarkEnd w:id="111"/>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(to the extent not reimbursed by the Borrower and without limiting the obligation of the Borrower to do so), ratably according to their respective Percentage Interests in effect on the date on which indemnification is sought under this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shall survive the termination of this Agreement and the payment of the Loans and all other amounts payable hereunder.</w:t>
      </w:r>
    </w:p>
    <w:p>
      <w:pPr>
        <w:spacing w:after="0" w:line="1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9.8. Posting of Communications. The Borrower agrees that the Administrative Agent may, but shall not be obligated to, make any Communications available to the Lenders and the Issuing Lenders by posting the Communications on IntraLinks™, DebtDomain, SyndTrak, ClearPar or any other similar electronic platform chosen by the Administrative Agent to be its electronic transmission system (the “</w:t>
      </w:r>
      <w:r>
        <w:rPr>
          <w:rFonts w:ascii="Times New Roman" w:cs="Times New Roman" w:eastAsia="Times New Roman" w:hAnsi="Times New Roman"/>
          <w:sz w:val="20"/>
          <w:szCs w:val="20"/>
          <w:u w:val="single" w:color="auto"/>
          <w:color w:val="auto"/>
        </w:rPr>
        <w:t>Approved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Electronic Platform</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-473075</wp:posOffset>
            </wp:positionV>
            <wp:extent cx="15544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jc w:val="both"/>
        <w:ind w:firstLine="1304"/>
        <w:spacing w:after="0" w:line="250" w:lineRule="auto"/>
        <w:tabs>
          <w:tab w:leader="none" w:pos="1751"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each of the Issuing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Lenders and the Borrower hereby approves distribution of the Communications through the Approved Electronic Platform and understands and assumes the risks of such distribution.</w:t>
      </w:r>
    </w:p>
    <w:p>
      <w:pPr>
        <w:spacing w:after="0" w:line="177"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778"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SYNDICATION AGENT OR ANY OF THEIR RESPECTIVE RELATED PARTIES (COLLECTIVELY, “</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HAVE ANY LIABILITY TO ANY LOAN PARTY, ANY LENDER, ANY ISSUING LENDER OR ANY OTHER PERSON OR ENTITY FOR DAMAGES OF ANY KIND, INCLUDING DIRECT OR INDIRECT, SPECIAL, INCIDENTAL OR CONSEQUENTIAL DAMAGES, LOSSES OR EXPENSES (WHETHER IN TORT, CONTRACT OR OTHERWISE) ARISING OUT OF ANY LOAN PARTY’S OR THE ADMINISTRATIVE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1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color w:val="auto"/>
        </w:rPr>
        <w:t>TRANSMISSION OF COMMUNICATIONS THROUGH THE INTERNET OR THE APPROVED ELECTRONIC PLATFORM.</w:t>
      </w:r>
    </w:p>
    <w:p>
      <w:pPr>
        <w:spacing w:after="0" w:line="229" w:lineRule="exact"/>
        <w:rPr>
          <w:sz w:val="20"/>
          <w:szCs w:val="20"/>
          <w:color w:val="auto"/>
        </w:rPr>
      </w:pPr>
    </w:p>
    <w:p>
      <w:pPr>
        <w:jc w:val="both"/>
        <w:ind w:firstLine="1304"/>
        <w:spacing w:after="0" w:line="253" w:lineRule="auto"/>
        <w:tabs>
          <w:tab w:leader="none" w:pos="1858"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and each Issuing Lender agrees that notice to it (as provided in the next sentence) specifying that Communications have been posted to the Approved Electronic Platform shall constitute effective delivery of the Communications to such Lender for purposes of the Loan Documents. Each Lender and Issuing Lender agrees to notify the Administrative Agent in writing (which could be in the form of electronic communication) from time to time of such Lender’s or Issuing Lender’s (as applicable) email address to which the foregoing notice may be sent by electronic transmission and that the foregoing notice may be sent to such email address.</w:t>
      </w:r>
    </w:p>
    <w:p>
      <w:pPr>
        <w:spacing w:after="0" w:line="191"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818"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Lenders, each of the Issuing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67" w:lineRule="exact"/>
        <w:rPr>
          <w:rFonts w:ascii="Times New Roman" w:cs="Times New Roman" w:eastAsia="Times New Roman" w:hAnsi="Times New Roman"/>
          <w:sz w:val="20"/>
          <w:szCs w:val="20"/>
          <w:color w:val="010000"/>
        </w:rPr>
      </w:pPr>
    </w:p>
    <w:p>
      <w:pPr>
        <w:ind w:firstLine="1304"/>
        <w:spacing w:after="0" w:line="283" w:lineRule="auto"/>
        <w:tabs>
          <w:tab w:leader="none" w:pos="1790"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herein shall prejudice the right of the Administrative Agent, any Lender or any Issuing Lender to give any notice or other communication pursuant to any Loan Document in any other manner specified in such Loan Document.</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9.9. Administrative Agent in Its Individual Capacity. The Administrative Agent and its affiliates may make loans to, accept deposits from and generally engage in any kind of business with any Loan Party as though such Administrative Agent were not an agent hereunder. With respect to its Loans made or renewed by it and with respect to any Letter of Credit issued or participated in by it, the Administrative Agent shall have the same rights and powers under this Agreement and the other Loan Documents as any Lender and may exercise the same as though it were not an agent, and the terms “Lender” and “Lenders” shall include the Administrative Agent in its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-631825</wp:posOffset>
            </wp:positionV>
            <wp:extent cx="27114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11450" cy="8255"/>
                    </a:xfrm>
                    <a:prstGeom prst="rect">
                      <a:avLst/>
                    </a:prstGeom>
                    <a:noFill/>
                  </pic:spPr>
                </pic:pic>
              </a:graphicData>
            </a:graphic>
          </wp:anchor>
        </w:drawing>
      </w:r>
    </w:p>
    <w:p>
      <w:pPr>
        <w:spacing w:after="0" w:line="21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9.10. Successor Administrative Agent. The Administrative Agent may resign as Administrative Agent upon thirty (30)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w:t>
      </w:r>
      <w:r>
        <w:rPr>
          <w:rFonts w:ascii="Times New Roman" w:cs="Times New Roman" w:eastAsia="Times New Roman" w:hAnsi="Times New Roman"/>
          <w:sz w:val="20"/>
          <w:szCs w:val="20"/>
          <w:u w:val="single" w:color="auto"/>
          <w:color w:val="auto"/>
        </w:rPr>
        <w:t>Section 8(a)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8(f)</w:t>
      </w:r>
      <w:r>
        <w:rPr>
          <w:rFonts w:ascii="Times New Roman" w:cs="Times New Roman" w:eastAsia="Times New Roman" w:hAnsi="Times New Roman"/>
          <w:sz w:val="20"/>
          <w:szCs w:val="20"/>
          <w:color w:val="auto"/>
        </w:rPr>
        <w:t xml:space="preserve"> with respect to the Borrower shall have occurred and be continuing)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thirty (30)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any retiring Administrative Agent’s resignation as Administrative Agent, the provisions of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of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shall continue to inure to its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-1832610</wp:posOffset>
            </wp:positionV>
            <wp:extent cx="17513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51330" cy="8255"/>
                    </a:xfrm>
                    <a:prstGeom prst="rect">
                      <a:avLst/>
                    </a:prstGeom>
                    <a:noFill/>
                  </pic:spPr>
                </pic:pic>
              </a:graphicData>
            </a:graphic>
          </wp:anchor>
        </w:drawing>
      </w:r>
    </w:p>
    <w:p>
      <w:pPr>
        <w:jc w:val="both"/>
        <w:ind w:firstLine="648"/>
        <w:spacing w:after="0" w:line="253" w:lineRule="auto"/>
        <w:rPr>
          <w:sz w:val="20"/>
          <w:szCs w:val="20"/>
          <w:color w:val="auto"/>
        </w:rPr>
      </w:pPr>
      <w:r>
        <w:rPr>
          <w:rFonts w:ascii="Times New Roman" w:cs="Times New Roman" w:eastAsia="Times New Roman" w:hAnsi="Times New Roman"/>
          <w:sz w:val="20"/>
          <w:szCs w:val="20"/>
          <w:u w:val="single" w:color="auto"/>
          <w:color w:val="0000FF"/>
        </w:rPr>
        <w:t>9.11. Acknowledgments of Lenders. The Lenders and the Issuing Lenders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-336550</wp:posOffset>
            </wp:positionV>
            <wp:extent cx="1943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4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13" w:right="339" w:bottom="1440" w:gutter="0" w:footer="0" w:header="0"/>
        </w:sectPr>
      </w:pPr>
    </w:p>
    <w:bookmarkStart w:id="113" w:name="page114"/>
    <w:bookmarkEnd w:id="113"/>
    <w:p>
      <w:pPr>
        <w:jc w:val="both"/>
        <w:spacing w:after="0" w:line="250" w:lineRule="auto"/>
        <w:rPr>
          <w:sz w:val="20"/>
          <w:szCs w:val="20"/>
          <w:color w:val="auto"/>
        </w:rPr>
      </w:pPr>
      <w:r>
        <w:rPr>
          <w:rFonts w:ascii="Times New Roman" w:cs="Times New Roman" w:eastAsia="Times New Roman" w:hAnsi="Times New Roman"/>
          <w:sz w:val="20"/>
          <w:szCs w:val="20"/>
          <w:u w:val="single" w:color="auto"/>
          <w:color w:val="0000FF"/>
        </w:rPr>
        <w:t>foregoing, the Loan Parties or their Affiliates may provide information, including updates to previously provided information to JPMorgan Chase Bank, N.A. and/or its Affiliates acting in different capacities, including as Lender, as Issuing Lender, lead bank, arranger or potential securities investor, independent of such entity’s role as administrative agent hereunder. The Lenders and the Issuing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and/or the Issuing Lenders by the Administrative Agent herein, the Administrative Agent shall not have any duty or responsibility to provide, and shall not be liable for the failure to provide, any Lender or any Issuing Lender with any credit or other information concerning the Loans, the Lenders, the Issuing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Issuing Lenders, or any formal or informal committee or ad hoc group of such Lenders or Issuing Lenders, including at the direction of a Loan Party.</w:t>
      </w:r>
    </w:p>
    <w:p>
      <w:pPr>
        <w:spacing w:after="0" w:line="183"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20"/>
          <w:szCs w:val="20"/>
          <w:color w:val="FF0000"/>
          <w:strike w:val="1"/>
        </w:rPr>
        <w:t>9.11</w:t>
      </w:r>
      <w:r>
        <w:rPr>
          <w:rFonts w:ascii="Times New Roman" w:cs="Times New Roman" w:eastAsia="Times New Roman" w:hAnsi="Times New Roman"/>
          <w:sz w:val="20"/>
          <w:szCs w:val="20"/>
          <w:u w:val="single" w:color="auto"/>
          <w:color w:val="0000FF"/>
        </w:rPr>
        <w:t>9.12</w:t>
      </w:r>
      <w:r>
        <w:rPr>
          <w:rFonts w:ascii="Times New Roman" w:cs="Times New Roman" w:eastAsia="Times New Roman" w:hAnsi="Times New Roman"/>
          <w:sz w:val="20"/>
          <w:szCs w:val="20"/>
          <w:color w:val="000000"/>
        </w:rPr>
        <w:t>.</w:t>
      </w:r>
      <w:r>
        <w:rPr>
          <w:sz w:val="20"/>
          <w:szCs w:val="20"/>
          <w:color w:val="auto"/>
        </w:rPr>
        <w:tab/>
      </w:r>
      <w:r>
        <w:rPr>
          <w:rFonts w:ascii="Times New Roman" w:cs="Times New Roman" w:eastAsia="Times New Roman" w:hAnsi="Times New Roman"/>
          <w:sz w:val="19"/>
          <w:szCs w:val="19"/>
          <w:color w:val="auto"/>
        </w:rPr>
        <w:t>Certain ERISA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-10795</wp:posOffset>
            </wp:positionV>
            <wp:extent cx="13049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8" w:lineRule="exact"/>
        <w:rPr>
          <w:sz w:val="20"/>
          <w:szCs w:val="20"/>
          <w:color w:val="auto"/>
        </w:rPr>
      </w:pPr>
    </w:p>
    <w:p>
      <w:pPr>
        <w:jc w:val="both"/>
        <w:ind w:firstLine="1304"/>
        <w:spacing w:after="0" w:line="253" w:lineRule="auto"/>
        <w:tabs>
          <w:tab w:leader="none" w:pos="1859" w:val="left"/>
        </w:tabs>
        <w:numPr>
          <w:ilvl w:val="0"/>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spacing w:after="0" w:line="175" w:lineRule="exact"/>
        <w:rPr>
          <w:rFonts w:ascii="Times New Roman" w:cs="Times New Roman" w:eastAsia="Times New Roman" w:hAnsi="Times New Roman"/>
          <w:sz w:val="20"/>
          <w:szCs w:val="20"/>
          <w:color w:val="010000"/>
        </w:rPr>
      </w:pPr>
    </w:p>
    <w:p>
      <w:pPr>
        <w:ind w:left="1300" w:firstLine="652"/>
        <w:spacing w:after="0" w:line="283" w:lineRule="auto"/>
        <w:tabs>
          <w:tab w:leader="none" w:pos="2394" w:val="left"/>
        </w:tabs>
        <w:numPr>
          <w:ilvl w:val="1"/>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Lender is not using “plan assets” (within the meaning of 29 CFR § 2510.3-101, as modified by Section 3(42) of ERISA) of one or more Benefit Plans in connection with the Loans, the Letters of Credit or the Commitments;</w:t>
      </w:r>
    </w:p>
    <w:p>
      <w:pPr>
        <w:spacing w:after="0" w:line="146" w:lineRule="exact"/>
        <w:rPr>
          <w:rFonts w:ascii="Times New Roman" w:cs="Times New Roman" w:eastAsia="Times New Roman" w:hAnsi="Times New Roman"/>
          <w:sz w:val="20"/>
          <w:szCs w:val="20"/>
          <w:color w:val="010000"/>
        </w:rPr>
      </w:pPr>
    </w:p>
    <w:p>
      <w:pPr>
        <w:jc w:val="both"/>
        <w:ind w:left="1300" w:firstLine="652"/>
        <w:spacing w:after="0" w:line="253" w:lineRule="auto"/>
        <w:tabs>
          <w:tab w:leader="none" w:pos="2466" w:val="left"/>
        </w:tabs>
        <w:numPr>
          <w:ilvl w:val="1"/>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2" w:lineRule="exact"/>
        <w:rPr>
          <w:rFonts w:ascii="Times New Roman" w:cs="Times New Roman" w:eastAsia="Times New Roman" w:hAnsi="Times New Roman"/>
          <w:sz w:val="20"/>
          <w:szCs w:val="20"/>
          <w:color w:val="010000"/>
        </w:rPr>
      </w:pPr>
    </w:p>
    <w:p>
      <w:pPr>
        <w:jc w:val="both"/>
        <w:ind w:left="1300" w:firstLine="652"/>
        <w:spacing w:after="0" w:line="264" w:lineRule="auto"/>
        <w:tabs>
          <w:tab w:leader="none" w:pos="2536" w:val="left"/>
        </w:tabs>
        <w:numPr>
          <w:ilvl w:val="1"/>
          <w:numId w:val="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w:t>
      </w:r>
    </w:p>
    <w:p>
      <w:pPr>
        <w:spacing w:after="0" w:line="1" w:lineRule="exact"/>
        <w:rPr>
          <w:rFonts w:ascii="Times New Roman" w:cs="Times New Roman" w:eastAsia="Times New Roman" w:hAnsi="Times New Roman"/>
          <w:sz w:val="19"/>
          <w:szCs w:val="19"/>
          <w:color w:val="010000"/>
        </w:rPr>
      </w:pPr>
    </w:p>
    <w:p>
      <w:pPr>
        <w:ind w:left="130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(D) to the best knowledge of such Lender, the requirements of subsection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13" w:right="339" w:bottom="1440" w:gutter="0" w:footer="0" w:header="0"/>
        </w:sectPr>
      </w:pPr>
    </w:p>
    <w:bookmarkStart w:id="114" w:name="page115"/>
    <w:bookmarkEnd w:id="114"/>
    <w:p>
      <w:pPr>
        <w:ind w:left="1300" w:firstLine="4"/>
        <w:spacing w:after="0" w:line="283" w:lineRule="auto"/>
        <w:tabs>
          <w:tab w:leader="none" w:pos="158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Part I of PTE 84-14 are satisfied with respect to such Lender’s entrance into, participation in, administration of and performance of the Loans, the Letters of Credit, the Commitments and this Agreement; or</w:t>
      </w:r>
    </w:p>
    <w:p>
      <w:pPr>
        <w:spacing w:after="0" w:line="146" w:lineRule="exact"/>
        <w:rPr>
          <w:rFonts w:ascii="Times New Roman" w:cs="Times New Roman" w:eastAsia="Times New Roman" w:hAnsi="Times New Roman"/>
          <w:sz w:val="20"/>
          <w:szCs w:val="20"/>
          <w:color w:val="auto"/>
        </w:rPr>
      </w:pPr>
    </w:p>
    <w:p>
      <w:pPr>
        <w:ind w:left="1300" w:firstLine="652"/>
        <w:spacing w:after="0" w:line="283" w:lineRule="auto"/>
        <w:tabs>
          <w:tab w:leader="none" w:pos="2527" w:val="left"/>
        </w:tabs>
        <w:numPr>
          <w:ilvl w:val="1"/>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46"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24"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addition, unless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is true with respect to a Lender or such Lender has provided another representation, warranty and covenant as provided in </w:t>
      </w:r>
      <w:r>
        <w:rPr>
          <w:rFonts w:ascii="Times New Roman" w:cs="Times New Roman" w:eastAsia="Times New Roman" w:hAnsi="Times New Roman"/>
          <w:sz w:val="20"/>
          <w:szCs w:val="20"/>
          <w:u w:val="single" w:color="auto"/>
          <w:color w:val="auto"/>
        </w:rPr>
        <w:t>sub-clause (iv)</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none of the Administrative Agent or any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 and</w:t>
      </w:r>
    </w:p>
    <w:p>
      <w:pPr>
        <w:spacing w:after="0" w:line="180"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759"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96"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20"/>
          <w:szCs w:val="20"/>
          <w:color w:val="FF0000"/>
          <w:strike w:val="1"/>
        </w:rPr>
        <w:t>9.12</w:t>
      </w:r>
      <w:r>
        <w:rPr>
          <w:rFonts w:ascii="Times New Roman" w:cs="Times New Roman" w:eastAsia="Times New Roman" w:hAnsi="Times New Roman"/>
          <w:sz w:val="20"/>
          <w:szCs w:val="20"/>
          <w:u w:val="single" w:color="auto"/>
          <w:color w:val="0000FF"/>
        </w:rPr>
        <w:t>9.13</w:t>
      </w:r>
      <w:r>
        <w:rPr>
          <w:rFonts w:ascii="Times New Roman" w:cs="Times New Roman" w:eastAsia="Times New Roman" w:hAnsi="Times New Roman"/>
          <w:sz w:val="20"/>
          <w:szCs w:val="20"/>
          <w:color w:val="000000"/>
        </w:rPr>
        <w:t>.</w:t>
      </w:r>
      <w:r>
        <w:rPr>
          <w:sz w:val="20"/>
          <w:szCs w:val="20"/>
          <w:color w:val="auto"/>
        </w:rPr>
        <w:tab/>
      </w:r>
      <w:r>
        <w:rPr>
          <w:rFonts w:ascii="Times New Roman" w:cs="Times New Roman" w:eastAsia="Times New Roman" w:hAnsi="Times New Roman"/>
          <w:sz w:val="19"/>
          <w:szCs w:val="19"/>
          <w:color w:val="auto"/>
        </w:rPr>
        <w:t>Erroneous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-10795</wp:posOffset>
            </wp:positionV>
            <wp:extent cx="11620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62050" cy="8890"/>
                    </a:xfrm>
                    <a:prstGeom prst="rect">
                      <a:avLst/>
                    </a:prstGeom>
                    <a:noFill/>
                  </pic:spPr>
                </pic:pic>
              </a:graphicData>
            </a:graphic>
          </wp:anchor>
        </w:drawing>
      </w:r>
    </w:p>
    <w:p>
      <w:pPr>
        <w:spacing w:after="0" w:line="8" w:lineRule="exact"/>
        <w:rPr>
          <w:sz w:val="20"/>
          <w:szCs w:val="20"/>
          <w:color w:val="auto"/>
        </w:rPr>
      </w:pPr>
    </w:p>
    <w:p>
      <w:pPr>
        <w:jc w:val="both"/>
        <w:ind w:firstLine="1304"/>
        <w:spacing w:after="0" w:line="249" w:lineRule="auto"/>
        <w:tabs>
          <w:tab w:leader="none" w:pos="1798"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and Issuing Lender hereby agrees that (x) if the Administrative Agent notifies such Lender or Issuing Lender that the Administrative Agent has determined in its sole discretion that any funds received by such Lender or Issuing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were erroneously transmitted to such Lender or Issuing Lender (whether or not known to such Lender or Issuing Lender), and demands the return of such Payment (or a portion thereof), such Lender or Issuing Lender, as applicable, shall promptly, but in no event later than two (2) Business Days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or Issuing Lender, as applicable, to the date such amount is repaid to the Administrative Agent at the greater of the NYFRB Rate and a rate determined by the Administrative Agent in accordance with banking industry rules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13" w:right="339" w:bottom="1440" w:gutter="0" w:footer="0" w:header="0"/>
        </w:sectPr>
      </w:pPr>
    </w:p>
    <w:bookmarkStart w:id="115" w:name="page116"/>
    <w:bookmarkEnd w:id="115"/>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interbank compensation from time to time in effect, and (y) to the extent permitted by applicable law, such Lender or such Issuing Lender, as applicable,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Issuing Lender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9.12</w:t>
      </w:r>
      <w:r>
        <w:rPr>
          <w:rFonts w:ascii="Times New Roman" w:cs="Times New Roman" w:eastAsia="Times New Roman" w:hAnsi="Times New Roman"/>
          <w:sz w:val="20"/>
          <w:szCs w:val="20"/>
          <w:u w:val="single" w:color="auto"/>
          <w:color w:val="0000FF"/>
        </w:rPr>
        <w:t>9.13</w:t>
      </w:r>
      <w:r>
        <w:rPr>
          <w:rFonts w:ascii="Times New Roman" w:cs="Times New Roman" w:eastAsia="Times New Roman" w:hAnsi="Times New Roman"/>
          <w:sz w:val="20"/>
          <w:szCs w:val="20"/>
          <w:color w:val="auto"/>
        </w:rPr>
        <w:t xml:space="preserve"> shall be conclusive, absent manifest error.</w:t>
      </w:r>
    </w:p>
    <w:p>
      <w:pPr>
        <w:spacing w:after="0" w:line="192" w:lineRule="exact"/>
        <w:rPr>
          <w:sz w:val="20"/>
          <w:szCs w:val="20"/>
          <w:color w:val="auto"/>
        </w:rPr>
      </w:pPr>
    </w:p>
    <w:p>
      <w:pPr>
        <w:jc w:val="both"/>
        <w:ind w:firstLine="282"/>
        <w:spacing w:after="0" w:line="251" w:lineRule="auto"/>
        <w:tabs>
          <w:tab w:leader="none" w:pos="779"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Issuing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or (y) that was not preceded or accompanied by a Payment Notice, it shall be on notice, in each such case, that an error has been made with respect to such Payment. Each Lender and Issuing Lender agrees that, in each such case, or if it otherwise becomes aware a Payment (or portion thereof) may have been sent in error, such Lender or such Issuing Lender, as applicable, shall promptly notify the Administrative Agent of such occurrence and, upon demand from the Administrative Agent, it shall promptly, but in no event later than two (2) Business Days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78" w:lineRule="exact"/>
        <w:rPr>
          <w:rFonts w:ascii="Times New Roman" w:cs="Times New Roman" w:eastAsia="Times New Roman" w:hAnsi="Times New Roman"/>
          <w:sz w:val="20"/>
          <w:szCs w:val="20"/>
          <w:color w:val="auto"/>
        </w:rPr>
      </w:pPr>
    </w:p>
    <w:p>
      <w:pPr>
        <w:jc w:val="both"/>
        <w:ind w:firstLine="295"/>
        <w:spacing w:after="0" w:line="254" w:lineRule="auto"/>
        <w:tabs>
          <w:tab w:leader="none" w:pos="790"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other Loan Party hereby agrees that (x) in the event an erroneous Payment (or portion thereof) are not recovered from any Lender or Issuing Lender, as applicable, that has received such Payment (or portion thereof) for any reason, the Administrative Agent shall be subrogated to all the rights of such Lender or Issuing Lender, as applicable, with respect to such amount and</w:t>
      </w:r>
    </w:p>
    <w:p>
      <w:pPr>
        <w:jc w:val="both"/>
        <w:ind w:firstLine="8"/>
        <w:spacing w:after="0" w:line="253" w:lineRule="auto"/>
        <w:tabs>
          <w:tab w:leader="none" w:pos="29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any Loan Party for the purpose of making such erroneous Payment.</w:t>
      </w:r>
    </w:p>
    <w:p>
      <w:pPr>
        <w:spacing w:after="0" w:line="188" w:lineRule="exact"/>
        <w:rPr>
          <w:rFonts w:ascii="Times New Roman" w:cs="Times New Roman" w:eastAsia="Times New Roman" w:hAnsi="Times New Roman"/>
          <w:sz w:val="20"/>
          <w:szCs w:val="20"/>
          <w:color w:val="auto"/>
        </w:rPr>
      </w:pPr>
    </w:p>
    <w:p>
      <w:pPr>
        <w:jc w:val="both"/>
        <w:ind w:firstLine="227"/>
        <w:spacing w:after="0" w:line="261" w:lineRule="auto"/>
        <w:tabs>
          <w:tab w:leader="none" w:pos="668"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9.12</w:t>
      </w:r>
      <w:r>
        <w:rPr>
          <w:rFonts w:ascii="Times New Roman" w:cs="Times New Roman" w:eastAsia="Times New Roman" w:hAnsi="Times New Roman"/>
          <w:sz w:val="20"/>
          <w:szCs w:val="20"/>
          <w:u w:val="single" w:color="auto"/>
          <w:color w:val="0000FF"/>
        </w:rPr>
        <w:t>9.13</w:t>
      </w:r>
      <w:r>
        <w:rPr>
          <w:rFonts w:ascii="Times New Roman" w:cs="Times New Roman" w:eastAsia="Times New Roman" w:hAnsi="Times New Roman"/>
          <w:sz w:val="20"/>
          <w:szCs w:val="20"/>
          <w:color w:val="auto"/>
        </w:rPr>
        <w:t xml:space="preserve"> shall survive the resignation or replacement of the Administrative Agent or any transfer of rights or obligations by, or the replacement of, a Lender or Issuing Lender, the termination of the Commitments or the repayment, satisfaction or discharge of all Obligations under any Loan Document.</w:t>
      </w:r>
    </w:p>
    <w:p>
      <w:pPr>
        <w:spacing w:after="0" w:line="168"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20"/>
          <w:szCs w:val="20"/>
          <w:color w:val="FF0000"/>
          <w:strike w:val="1"/>
        </w:rPr>
        <w:t>9.13</w:t>
      </w:r>
      <w:r>
        <w:rPr>
          <w:rFonts w:ascii="Times New Roman" w:cs="Times New Roman" w:eastAsia="Times New Roman" w:hAnsi="Times New Roman"/>
          <w:sz w:val="20"/>
          <w:szCs w:val="20"/>
          <w:u w:val="single" w:color="auto"/>
          <w:color w:val="0000FF"/>
        </w:rPr>
        <w:t>9.14</w:t>
      </w:r>
      <w:r>
        <w:rPr>
          <w:rFonts w:ascii="Times New Roman" w:cs="Times New Roman" w:eastAsia="Times New Roman" w:hAnsi="Times New Roman"/>
          <w:sz w:val="20"/>
          <w:szCs w:val="20"/>
          <w:color w:val="000000"/>
        </w:rPr>
        <w:t>.</w:t>
      </w:r>
      <w:r>
        <w:rPr>
          <w:sz w:val="20"/>
          <w:szCs w:val="20"/>
          <w:color w:val="auto"/>
        </w:rPr>
        <w:tab/>
      </w:r>
      <w:r>
        <w:rPr>
          <w:rFonts w:ascii="Times New Roman" w:cs="Times New Roman" w:eastAsia="Times New Roman" w:hAnsi="Times New Roman"/>
          <w:sz w:val="19"/>
          <w:szCs w:val="19"/>
          <w:color w:val="auto"/>
        </w:rPr>
        <w:t>Borrower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-10795</wp:posOffset>
            </wp:positionV>
            <wp:extent cx="14966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96695"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61" w:lineRule="auto"/>
        <w:tabs>
          <w:tab w:leader="none" w:pos="1725" w:val="left"/>
        </w:tabs>
        <w:numPr>
          <w:ilvl w:val="0"/>
          <w:numId w:val="1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the Lenders and the Issuing Lenders agree that the Borrower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20"/>
          <w:szCs w:val="20"/>
          <w:u w:val="single" w:color="auto"/>
          <w:color w:val="auto"/>
        </w:rPr>
        <w:t>Approved Borrower Portal</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010000"/>
        </w:rPr>
      </w:pPr>
    </w:p>
    <w:p>
      <w:pPr>
        <w:ind w:firstLine="1304"/>
        <w:spacing w:after="0" w:line="269" w:lineRule="auto"/>
        <w:tabs>
          <w:tab w:leader="none" w:pos="1821" w:val="left"/>
        </w:tabs>
        <w:numPr>
          <w:ilvl w:val="0"/>
          <w:numId w:val="1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Although the Approved Borrower Portal and its primary web portal are secured with generally-applicable security procedures and policies implemented or modified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13" w:right="339" w:bottom="1440" w:gutter="0" w:footer="0" w:header="0"/>
        </w:sectPr>
      </w:pPr>
    </w:p>
    <w:bookmarkStart w:id="116" w:name="page117"/>
    <w:bookmarkEnd w:id="116"/>
    <w:p>
      <w:pPr>
        <w:jc w:val="both"/>
        <w:spacing w:after="0" w:line="253" w:lineRule="auto"/>
        <w:rPr>
          <w:sz w:val="20"/>
          <w:szCs w:val="20"/>
          <w:color w:val="auto"/>
        </w:rPr>
      </w:pPr>
      <w:r>
        <w:rPr>
          <w:rFonts w:ascii="Times New Roman" w:cs="Times New Roman" w:eastAsia="Times New Roman" w:hAnsi="Times New Roman"/>
          <w:sz w:val="20"/>
          <w:szCs w:val="20"/>
          <w:color w:val="auto"/>
        </w:rPr>
        <w:t>Administrative Agent from time to time (including, as of the First Amendment Effective Date, a user ID/password authorization system), each of the Lenders, each of the Issuing Lenders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each of the Issuing Lenders and the Borrower hereby approves distribution of Borrower Communications through the Approved Borrower Portal and understands and assumes the risks of such distribution.</w:t>
      </w:r>
    </w:p>
    <w:p>
      <w:pPr>
        <w:spacing w:after="0" w:line="192" w:lineRule="exact"/>
        <w:rPr>
          <w:sz w:val="20"/>
          <w:szCs w:val="20"/>
          <w:color w:val="auto"/>
        </w:rPr>
      </w:pPr>
    </w:p>
    <w:p>
      <w:pPr>
        <w:jc w:val="both"/>
        <w:ind w:firstLine="1304"/>
        <w:spacing w:after="0" w:line="264" w:lineRule="auto"/>
        <w:tabs>
          <w:tab w:leader="none" w:pos="1781" w:val="left"/>
        </w:tabs>
        <w:numPr>
          <w:ilvl w:val="0"/>
          <w:numId w:val="10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OR ANY OF ITS RELATED PARTIES (COLLECTIVELY, “</w:t>
      </w:r>
      <w:r>
        <w:rPr>
          <w:rFonts w:ascii="Times New Roman" w:cs="Times New Roman" w:eastAsia="Times New Roman" w:hAnsi="Times New Roman"/>
          <w:sz w:val="19"/>
          <w:szCs w:val="19"/>
          <w:u w:val="single" w:color="auto"/>
          <w:color w:val="auto"/>
        </w:rPr>
        <w:t>APPLICABLE PARTIES</w:t>
      </w:r>
      <w:r>
        <w:rPr>
          <w:rFonts w:ascii="Times New Roman" w:cs="Times New Roman" w:eastAsia="Times New Roman" w:hAnsi="Times New Roman"/>
          <w:sz w:val="19"/>
          <w:szCs w:val="19"/>
          <w:color w:val="auto"/>
        </w:rPr>
        <w:t>”) HAVE ANY LIABILITY TO ANY LOAN PARTY, ANY LENDER, ANY ISSUING LENDER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17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Communications</w:t>
      </w:r>
      <w:r>
        <w:rPr>
          <w:rFonts w:ascii="Times New Roman" w:cs="Times New Roman" w:eastAsia="Times New Roman" w:hAnsi="Times New Roman"/>
          <w:sz w:val="20"/>
          <w:szCs w:val="20"/>
          <w:color w:val="auto"/>
        </w:rPr>
        <w:t>”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the Borrower to the Administrative Agent through an Approved Borrower Portal.</w:t>
      </w:r>
    </w:p>
    <w:p>
      <w:pPr>
        <w:spacing w:after="0" w:line="213" w:lineRule="exact"/>
        <w:rPr>
          <w:sz w:val="20"/>
          <w:szCs w:val="20"/>
          <w:color w:val="auto"/>
        </w:rPr>
      </w:pPr>
    </w:p>
    <w:p>
      <w:pPr>
        <w:jc w:val="both"/>
        <w:ind w:firstLine="1304"/>
        <w:spacing w:after="0" w:line="261" w:lineRule="auto"/>
        <w:tabs>
          <w:tab w:leader="none" w:pos="1818"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Lenders, each of the Issuing Lenders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167" w:lineRule="exact"/>
        <w:rPr>
          <w:rFonts w:ascii="Times New Roman" w:cs="Times New Roman" w:eastAsia="Times New Roman" w:hAnsi="Times New Roman"/>
          <w:sz w:val="20"/>
          <w:szCs w:val="20"/>
          <w:color w:val="010000"/>
        </w:rPr>
      </w:pPr>
    </w:p>
    <w:p>
      <w:pPr>
        <w:ind w:firstLine="1304"/>
        <w:spacing w:after="0" w:line="283" w:lineRule="auto"/>
        <w:tabs>
          <w:tab w:leader="none" w:pos="1787"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herein shall prejudice the right of the Borrower to give any notice or other communication pursuant to any Loan Document in any other manner specified in such Loan Document.</w:t>
      </w:r>
    </w:p>
    <w:p>
      <w:pPr>
        <w:spacing w:after="0" w:line="160"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19"/>
          <w:szCs w:val="19"/>
          <w:color w:val="auto"/>
        </w:rPr>
        <w:t>MISCELLANEOUS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10.1. Amendments and Waivers.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neither this Agreement, any other Loan Document, nor any terms hereof or thereof may be amended, supplemented or modified except in accordance with the provisions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The Required Lenders and each Loan Party party to the relevant Loan Document may, or, with the written consent of the Required Lenders, the Administrative Agent and each Loan Party party to the relevant Loan Document may,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-492760</wp:posOffset>
            </wp:positionV>
            <wp:extent cx="14668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6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13" w:right="339" w:bottom="1440" w:gutter="0" w:footer="0" w:header="0"/>
        </w:sectPr>
      </w:pPr>
    </w:p>
    <w:bookmarkStart w:id="117" w:name="page118"/>
    <w:bookmarkEnd w:id="117"/>
    <w:p>
      <w:pPr>
        <w:jc w:val="both"/>
        <w:ind w:firstLine="8"/>
        <w:spacing w:after="0" w:line="248" w:lineRule="auto"/>
        <w:tabs>
          <w:tab w:leader="none" w:pos="29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such waiver and no such amendment, supplement or modification shall (i) forgive the principal amount or extend the final scheduled date of maturity of any Loan, reduce the stated rate of any interest or fee payable hereunder (except (x) in connection with the waiver of applicability of any post-default increase in interest rates (which waiver shall be effective with the consent of the Required Lenders) and (y) that any amendment or modification of defined terms used in the financial covenants in this Agreement shall not constitute a reduction in the rate of interest or fees for purposes of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extend the scheduled date of any payment thereof, or increase the amount or extend the expiration date of any Lender’s Commitment, in each case without the written consent of each Lender directly affected thereby (except that an increase in the available portion of any Commitment of any Lender pursuant to the reallocation provisions of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shall not be deemed to constitute an increase of the Commitment of such Lender); (ii) eliminate or reduce the voting rights of any Lender under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without the written consent of such Lender; (iii) (A) reduce any percentage specified in the definition of “Required Lenders”, (B) consent to the assignment or transfer by the Borrower of any of its rights and obligations under this Agreement and the other Loan Documents (except in accordance with this Agreement), (C) release all or substantially all of the collateral, if any, provided pursuant to this Agreement or (D) release all or substantially all of the Guarantors from their obligations under the Guarantee Agreement, in each case, without the written consent of all Lenders; (iv) amend, modify or waive any provision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without the written consent of all the Lenders; (v) amend, modify or waive any provision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or any other provision of any Loan Document that affects the Administrative Agent without the written consent of the Administrative Agent; or (vi) amend, modify or waive any provision of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without the written consent of the Issuing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on a subsequent or other Default or Event of Default.</w:t>
      </w:r>
    </w:p>
    <w:p>
      <w:pPr>
        <w:spacing w:after="0" w:line="15" w:lineRule="exact"/>
        <w:rPr>
          <w:rFonts w:ascii="Times New Roman" w:cs="Times New Roman" w:eastAsia="Times New Roman" w:hAnsi="Times New Roman"/>
          <w:sz w:val="20"/>
          <w:szCs w:val="20"/>
          <w:color w:val="auto"/>
        </w:rPr>
      </w:pPr>
    </w:p>
    <w:p>
      <w:pPr>
        <w:jc w:val="both"/>
        <w:ind w:firstLine="648"/>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10.2. Notices. All notices, requests and demands to or upon the respective parties hereto to be effective shall be in writing (including by telecopy), and, unless otherwise expressly provided herein, shall be deemed to have been duly given or made when delivered, or, in the case of telecopy notice, when received,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w:t>
      </w:r>
    </w:p>
    <w:p>
      <w:pPr>
        <w:spacing w:after="0" w:line="4"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Beazer Homes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-779145</wp:posOffset>
            </wp:positionV>
            <wp:extent cx="5949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4995" cy="8255"/>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20"/>
          <w:szCs w:val="20"/>
          <w:color w:val="FF0000"/>
          <w:strike w:val="1"/>
        </w:rPr>
        <w:t>1000 Abernathy Road NE, Suite 260</w:t>
      </w:r>
      <w:r>
        <w:rPr>
          <w:rFonts w:ascii="Times New Roman" w:cs="Times New Roman" w:eastAsia="Times New Roman" w:hAnsi="Times New Roman"/>
          <w:sz w:val="20"/>
          <w:szCs w:val="20"/>
          <w:u w:val="single" w:color="auto"/>
          <w:color w:val="0000FF"/>
          <w:strike w:val="1"/>
        </w:rPr>
        <w:t>2002 Summit Blvd., 15</w:t>
      </w:r>
      <w:r>
        <w:rPr>
          <w:rFonts w:ascii="Times New Roman" w:cs="Times New Roman" w:eastAsia="Times New Roman" w:hAnsi="Times New Roman"/>
          <w:sz w:val="25"/>
          <w:szCs w:val="25"/>
          <w:u w:val="single" w:color="auto"/>
          <w:color w:val="0000FF"/>
          <w:strike w:val="1"/>
          <w:vertAlign w:val="superscript"/>
        </w:rPr>
        <w:t>th</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Floor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13" w:right="339" w:bottom="1440" w:gutter="0" w:footer="0" w:header="0"/>
        </w:sectPr>
      </w:pPr>
    </w:p>
    <w:bookmarkStart w:id="118" w:name="page119"/>
    <w:bookmarkEnd w:id="118"/>
    <w:p>
      <w:pPr>
        <w:ind w:left="840"/>
        <w:spacing w:after="0"/>
        <w:rPr>
          <w:sz w:val="20"/>
          <w:szCs w:val="20"/>
          <w:color w:val="auto"/>
        </w:rPr>
      </w:pPr>
      <w:r>
        <w:rPr>
          <w:rFonts w:ascii="Times New Roman" w:cs="Times New Roman" w:eastAsia="Times New Roman" w:hAnsi="Times New Roman"/>
          <w:sz w:val="20"/>
          <w:szCs w:val="20"/>
          <w:color w:val="auto"/>
        </w:rPr>
        <w:t xml:space="preserve">Atlanta, GA </w:t>
      </w:r>
      <w:r>
        <w:rPr>
          <w:rFonts w:ascii="Times New Roman" w:cs="Times New Roman" w:eastAsia="Times New Roman" w:hAnsi="Times New Roman"/>
          <w:sz w:val="20"/>
          <w:szCs w:val="20"/>
          <w:color w:val="FF0000"/>
          <w:strike w:val="1"/>
        </w:rPr>
        <w:t>30328</w:t>
      </w:r>
      <w:r>
        <w:rPr>
          <w:rFonts w:ascii="Times New Roman" w:cs="Times New Roman" w:eastAsia="Times New Roman" w:hAnsi="Times New Roman"/>
          <w:sz w:val="20"/>
          <w:szCs w:val="20"/>
          <w:u w:val="single" w:color="auto"/>
          <w:color w:val="0000FF"/>
        </w:rPr>
        <w:t>30319</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Attention: David Goldberg, Chief Financial Officer</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Telephone: (770) 829-3756</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Email: david.goldberg@beazer.com</w:t>
      </w: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with copies to:</w:t>
      </w:r>
    </w:p>
    <w:p>
      <w:pPr>
        <w:spacing w:after="0" w:line="2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King &amp; Spalding LLP</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1180 Peachtree Street NE, Suite 1600</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Atlanta, GA 30309</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Attention: Chadwick M. Werner</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Telecopy: (404) 572-5135</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Telephone: (404)572-2717</w:t>
      </w:r>
    </w:p>
    <w:p>
      <w:pPr>
        <w:spacing w:after="0" w:line="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Email: cwerner@kslaw.com</w:t>
      </w:r>
    </w:p>
    <w:p>
      <w:pPr>
        <w:spacing w:after="0" w:line="227" w:lineRule="exact"/>
        <w:rPr>
          <w:sz w:val="20"/>
          <w:szCs w:val="20"/>
          <w:color w:val="auto"/>
        </w:rPr>
      </w:pPr>
    </w:p>
    <w:p>
      <w:pPr>
        <w:ind w:left="660"/>
        <w:spacing w:after="0"/>
        <w:tabs>
          <w:tab w:leader="none" w:pos="2600" w:val="left"/>
        </w:tabs>
        <w:rPr>
          <w:sz w:val="20"/>
          <w:szCs w:val="20"/>
          <w:color w:val="auto"/>
        </w:rPr>
      </w:pPr>
      <w:r>
        <w:rPr>
          <w:rFonts w:ascii="Times New Roman" w:cs="Times New Roman" w:eastAsia="Times New Roman" w:hAnsi="Times New Roman"/>
          <w:sz w:val="20"/>
          <w:szCs w:val="20"/>
          <w:color w:val="auto"/>
        </w:rPr>
        <w:t>Administrative Agent:</w:t>
      </w:r>
      <w:r>
        <w:rPr>
          <w:sz w:val="20"/>
          <w:szCs w:val="20"/>
          <w:color w:val="auto"/>
        </w:rPr>
        <w:tab/>
      </w:r>
      <w:r>
        <w:rPr>
          <w:rFonts w:ascii="Times New Roman" w:cs="Times New Roman" w:eastAsia="Times New Roman" w:hAnsi="Times New Roman"/>
          <w:sz w:val="19"/>
          <w:szCs w:val="19"/>
          <w:color w:val="auto"/>
        </w:rPr>
        <w:t>JPMorgan Chase Bank, N.A.</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500 Stanton Christiana Rd.</w:t>
      </w:r>
    </w:p>
    <w:p>
      <w:pPr>
        <w:ind w:left="3240"/>
        <w:spacing w:after="0" w:line="208" w:lineRule="auto"/>
        <w:rPr>
          <w:sz w:val="20"/>
          <w:szCs w:val="20"/>
          <w:color w:val="auto"/>
        </w:rPr>
      </w:pPr>
      <w:r>
        <w:rPr>
          <w:rFonts w:ascii="Times New Roman" w:cs="Times New Roman" w:eastAsia="Times New Roman" w:hAnsi="Times New Roman"/>
          <w:sz w:val="20"/>
          <w:szCs w:val="20"/>
          <w:color w:val="auto"/>
        </w:rPr>
        <w:t>NCC5 /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Floor</w:t>
      </w:r>
    </w:p>
    <w:p>
      <w:pPr>
        <w:ind w:left="3240"/>
        <w:spacing w:after="0"/>
        <w:rPr>
          <w:sz w:val="20"/>
          <w:szCs w:val="20"/>
          <w:color w:val="auto"/>
        </w:rPr>
      </w:pPr>
      <w:r>
        <w:rPr>
          <w:rFonts w:ascii="Times New Roman" w:cs="Times New Roman" w:eastAsia="Times New Roman" w:hAnsi="Times New Roman"/>
          <w:sz w:val="20"/>
          <w:szCs w:val="20"/>
          <w:color w:val="auto"/>
        </w:rPr>
        <w:t>Newark, Delaware 19713</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Attention: Loan &amp; Agency Services Group</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Attention: Michelle Won</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Tel: 302-634-2214</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Email: michelle.won@chase.com</w:t>
      </w:r>
    </w:p>
    <w:p>
      <w:pPr>
        <w:spacing w:after="0" w:line="23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i w:val="1"/>
          <w:iCs w:val="1"/>
          <w:color w:val="auto"/>
        </w:rPr>
        <w:t>Agency Withholding Tax Inquiries</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Email: agency.tax.reporting@jpmorgan.com</w:t>
      </w:r>
    </w:p>
    <w:p>
      <w:pPr>
        <w:spacing w:after="0" w:line="23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i w:val="1"/>
          <w:iCs w:val="1"/>
          <w:color w:val="auto"/>
        </w:rPr>
        <w:t>Agency Compliance/Financials/Intralinks</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Email: covenant.compliance@jpmchase.com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notice, request or demand to or upon the Administrative Agent or the Lenders shall not be effective until received.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10.3. No Waiver; Cumulative Remedies.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-634365</wp:posOffset>
            </wp:positionV>
            <wp:extent cx="18669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66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13" w:right="339" w:bottom="1440" w:gutter="0" w:footer="0" w:header="0"/>
        </w:sectPr>
      </w:pPr>
    </w:p>
    <w:bookmarkStart w:id="119" w:name="page120"/>
    <w:bookmarkEnd w:id="119"/>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To the extent permitted by applicable law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any Loan or Letter of Credit or the use of the proceeds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shall relieve the Borrower of any obligation it may have to indemnify an Indemnitee, as provided in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against any special, indirect, consequential or punitive damages asserted against such Indemnitee by a third party.</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10.4. Survival. All covenants, agreements, representations and warranties made by the Borrower herein and in the other Loan Documents and in the certificates or other instruments delivered in connection with or pursuant to this Agreement or any other Loan Documents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Lender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-1531620</wp:posOffset>
            </wp:positionV>
            <wp:extent cx="6115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1505" cy="8255"/>
                    </a:xfrm>
                    <a:prstGeom prst="rect">
                      <a:avLst/>
                    </a:prstGeom>
                    <a:noFill/>
                  </pic:spPr>
                </pic:pic>
              </a:graphicData>
            </a:graphic>
          </wp:anchor>
        </w:drawing>
      </w: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9"/>
          <w:szCs w:val="19"/>
          <w:color w:val="auto"/>
        </w:rPr>
        <w:t>Expenses; Limitation of Liability; Indemnity, Etc.4.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-24765</wp:posOffset>
            </wp:positionV>
            <wp:extent cx="26333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33345" cy="8890"/>
                    </a:xfrm>
                    <a:prstGeom prst="rect">
                      <a:avLst/>
                    </a:prstGeom>
                    <a:noFill/>
                  </pic:spPr>
                </pic:pic>
              </a:graphicData>
            </a:graphic>
          </wp:anchor>
        </w:drawing>
      </w:r>
    </w:p>
    <w:p>
      <w:pPr>
        <w:jc w:val="both"/>
        <w:ind w:firstLine="1304"/>
        <w:spacing w:after="0" w:line="248" w:lineRule="auto"/>
        <w:tabs>
          <w:tab w:leader="none" w:pos="1902" w:val="left"/>
        </w:tabs>
        <w:numPr>
          <w:ilvl w:val="0"/>
          <w:numId w:val="10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xml:space="preserve">. The Borrower shall pay (i) all reasonable and documented out of pocket expenses incurred by the Administrative Agent, the Arrangers and their Affiliates, including the reasonable and documented fees, charges and disbursements of counsel for the Administrative Agent, in connection with the syndication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Issuing Lender in connection with the issuance, amendment, renewal or extension of any Letter of Credit or any demand for payment thereunder and (iii) all reasonable and documented out-of-pocket expenses incurred by the Administrative Agent, any Issuing Lender or any Lender, including the fees, charges and disbursements of any counsel for the Administrative Agent, any Issuing Lender or any Lender, in connection with the enforcement or protection of its rights in connection with this Agreement and the other Loan Documents, including its rights under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or in connection with the Loans made or Letters of Credit issued hereunder, including all such out-of-pocket expenses incurred during any workout, restructuring or negotiations in respect of such Loans or Letters of Credit. Notwithstanding the foregoing, the expense reimbursement obligations under this clause (a) in respect of fees, charges and disbursements of counsel shall be limited to one primary counsel and one additional local counsel in each applicable jurisdiction for all covered parties, taken as a whole, and, in the case of an actual or potential conflict of interest, one additional counsel (and one additional local counsel in each applicable jurisdiction) in each relevant jurisdiction for each group of affected parties similarly situated.</w:t>
      </w:r>
    </w:p>
    <w:p>
      <w:pPr>
        <w:spacing w:after="0" w:line="200"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38" w:val="left"/>
        </w:tabs>
        <w:numPr>
          <w:ilvl w:val="0"/>
          <w:numId w:val="10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To the extent permitted by applicable law (i) the Borrower and any Loan Party shall not assert, and the Borrower and each Loan Party hereby waives, any claim against the Administrative Agent, any Arranger, any Issuing Lender and any Lender, and any Related Party of any of the foregoing Persons (each such Person being called a “</w:t>
      </w:r>
      <w:r>
        <w:rPr>
          <w:rFonts w:ascii="Times New Roman" w:cs="Times New Roman" w:eastAsia="Times New Roman" w:hAnsi="Times New Roman"/>
          <w:sz w:val="20"/>
          <w:szCs w:val="20"/>
          <w:u w:val="single" w:color="auto"/>
          <w:color w:val="auto"/>
        </w:rPr>
        <w:t>Lender-Related Person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13" w:right="339" w:bottom="1440" w:gutter="0" w:footer="0" w:header="0"/>
        </w:sectPr>
      </w:pPr>
    </w:p>
    <w:bookmarkStart w:id="120" w:name="page121"/>
    <w:bookmarkEnd w:id="120"/>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for any Liabilities arising from the use by others of information or other materials (including, without limitation, any personal data) obtained through telecommunications, electronic or other information transmission systems (including the Internet, any Approved Electronic Platform and any Approved Borrower Portal),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10.5(b)</w:t>
      </w:r>
      <w:r>
        <w:rPr>
          <w:rFonts w:ascii="Times New Roman" w:cs="Times New Roman" w:eastAsia="Times New Roman" w:hAnsi="Times New Roman"/>
          <w:sz w:val="19"/>
          <w:szCs w:val="19"/>
          <w:color w:val="auto"/>
        </w:rPr>
        <w:t xml:space="preserve"> shall relieve the Borrower and each Loan Party of any obligation it may have to indemnify an Indemnitee, as provided in </w:t>
      </w:r>
      <w:r>
        <w:rPr>
          <w:rFonts w:ascii="Times New Roman" w:cs="Times New Roman" w:eastAsia="Times New Roman" w:hAnsi="Times New Roman"/>
          <w:sz w:val="19"/>
          <w:szCs w:val="19"/>
          <w:u w:val="single" w:color="auto"/>
          <w:color w:val="auto"/>
        </w:rPr>
        <w:t>Section</w:t>
      </w:r>
    </w:p>
    <w:p>
      <w:pPr>
        <w:spacing w:after="0"/>
        <w:rPr>
          <w:sz w:val="20"/>
          <w:szCs w:val="20"/>
          <w:color w:val="auto"/>
        </w:rPr>
      </w:pPr>
      <w:r>
        <w:rPr>
          <w:rFonts w:ascii="Times New Roman" w:cs="Times New Roman" w:eastAsia="Times New Roman" w:hAnsi="Times New Roman"/>
          <w:sz w:val="20"/>
          <w:szCs w:val="20"/>
          <w:u w:val="single" w:color="auto"/>
          <w:color w:val="auto"/>
        </w:rPr>
        <w:t>10.5(c)</w:t>
      </w:r>
      <w:r>
        <w:rPr>
          <w:rFonts w:ascii="Times New Roman" w:cs="Times New Roman" w:eastAsia="Times New Roman" w:hAnsi="Times New Roman"/>
          <w:sz w:val="20"/>
          <w:szCs w:val="20"/>
          <w:color w:val="auto"/>
        </w:rPr>
        <w:t>, against any special, indirect, consequential or punitive damages asserted against such Indemnitee by a third party.</w:t>
      </w:r>
    </w:p>
    <w:p>
      <w:pPr>
        <w:spacing w:after="0" w:line="207" w:lineRule="exact"/>
        <w:rPr>
          <w:sz w:val="20"/>
          <w:szCs w:val="20"/>
          <w:color w:val="auto"/>
        </w:rPr>
      </w:pPr>
    </w:p>
    <w:p>
      <w:pPr>
        <w:jc w:val="both"/>
        <w:ind w:firstLine="1304"/>
        <w:spacing w:after="0" w:line="262" w:lineRule="auto"/>
        <w:tabs>
          <w:tab w:leader="none" w:pos="1821" w:val="left"/>
        </w:tabs>
        <w:numPr>
          <w:ilvl w:val="0"/>
          <w:numId w:val="10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Indemnity</w:t>
      </w:r>
      <w:r>
        <w:rPr>
          <w:rFonts w:ascii="Times New Roman" w:cs="Times New Roman" w:eastAsia="Times New Roman" w:hAnsi="Times New Roman"/>
          <w:sz w:val="19"/>
          <w:szCs w:val="19"/>
          <w:color w:val="auto"/>
        </w:rPr>
        <w:t>. The Borrower shall indemnify the Administrative Agent, each Arranger, each Issuing Lender and each Lender,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against, and hold each Indemnitee harmless from, any and all Liabilities and related expenses, including the reasonable and documented fees, charges and disbursements of any counsel for any Indemnitee, incurred by or asserted against any Indemnitee arising out of, in connection with, or as a result of (i) the execution or delivery of this Agreement, any other Loan Document, or any agreement or instrument contemplated hereby or thereby, (ii) the performance by the parties hereto of their respective obligations hereunder or thereunder or the consummation of the transactions contemplated hereby, (iii) any Loan or Letter of Credit or the use of the proceeds therefrom (including any refusal by an Issuing Lender to honor a demand for payment under a Letter of Credit if the documents presented in connection with such demand do not strictly comply with the terms of such Letter of Credit), (iv) any actual or alleged presence or release of Hazardous Substances on or from any property owned or operated by the Borrower or any of its Subsidiaries, or any Environmental Liability related in any way to the Borrower or any of its Subsidiaries, or (v) any actual or prospective Proceeding relating to any of the foregoing, whether or not such Proceeding is brought by the Borrower or any other Loan Party or its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Liabilities or related expenses are determined by a court of competent jurisdiction by final and non-appealable judgment to have (x) resulted primarily from the gross negligence or willful misconduct of such Indemnitee (or any of its controlled affiliates and its or their respective officers, directors and employees) or (y) arising from disputes brought by an Indemnitee against any other Indemnitee and not involving an act or omission by the Borrower or any of its Affiliates (other than any claims against any Indemnitee in its capacity as, or fulfilling its role as, the Administrative Agent, Arranger or any similar role).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10.5(c)</w:t>
      </w:r>
      <w:r>
        <w:rPr>
          <w:rFonts w:ascii="Times New Roman" w:cs="Times New Roman" w:eastAsia="Times New Roman" w:hAnsi="Times New Roman"/>
          <w:sz w:val="19"/>
          <w:szCs w:val="19"/>
          <w:color w:val="auto"/>
        </w:rPr>
        <w:t xml:space="preserve"> shall not apply with respect to Taxes other than any Taxes that represent losses, claims or damages arising from any non-Tax claim. Notwithstanding the foregoing, the indemnifications obligations under this clause (c) in respect of fees, charges and disbursements of counsel shall be limited to one primary counsel and one additional local counsel in each applicable jurisdiction for all covered parties, taken as a whole, and, in the case of an actual or potential conflict of interest, one additional counsel (and one additional local counsel in each applicable jurisdiction) in each relevant jurisdiction for each group of affected parties similarly situated.</w:t>
      </w:r>
    </w:p>
    <w:p>
      <w:pPr>
        <w:spacing w:after="0" w:line="200" w:lineRule="exact"/>
        <w:rPr>
          <w:rFonts w:ascii="Times New Roman" w:cs="Times New Roman" w:eastAsia="Times New Roman" w:hAnsi="Times New Roman"/>
          <w:sz w:val="19"/>
          <w:szCs w:val="19"/>
          <w:color w:val="010000"/>
        </w:rPr>
      </w:pPr>
    </w:p>
    <w:p>
      <w:pPr>
        <w:spacing w:after="0" w:line="222" w:lineRule="exact"/>
        <w:rPr>
          <w:rFonts w:ascii="Times New Roman" w:cs="Times New Roman" w:eastAsia="Times New Roman" w:hAnsi="Times New Roman"/>
          <w:sz w:val="19"/>
          <w:szCs w:val="19"/>
          <w:color w:val="010000"/>
        </w:rPr>
      </w:pPr>
    </w:p>
    <w:p>
      <w:pPr>
        <w:jc w:val="both"/>
        <w:ind w:firstLine="1304"/>
        <w:spacing w:after="0" w:line="258" w:lineRule="auto"/>
        <w:tabs>
          <w:tab w:leader="none" w:pos="1778" w:val="left"/>
        </w:tabs>
        <w:numPr>
          <w:ilvl w:val="0"/>
          <w:numId w:val="1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Lender Reimbursement</w:t>
      </w:r>
      <w:r>
        <w:rPr>
          <w:rFonts w:ascii="Times New Roman" w:cs="Times New Roman" w:eastAsia="Times New Roman" w:hAnsi="Times New Roman"/>
          <w:sz w:val="20"/>
          <w:szCs w:val="20"/>
          <w:color w:val="auto"/>
        </w:rPr>
        <w:t xml:space="preserve">. Each Lender severally agrees to pay any amount required to be paid by the Borrower under </w:t>
      </w:r>
      <w:r>
        <w:rPr>
          <w:rFonts w:ascii="Times New Roman" w:cs="Times New Roman" w:eastAsia="Times New Roman" w:hAnsi="Times New Roman"/>
          <w:sz w:val="20"/>
          <w:szCs w:val="20"/>
          <w:u w:val="single" w:color="auto"/>
          <w:color w:val="auto"/>
        </w:rPr>
        <w:t>paragraphs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to the Administrative Agent and each Issuing Lender, and each Related Party of any of the foregoing Persons (each, an “</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(to the extent not reimbursed by the Borrower and without limiting the obligation of the Borrower to do so), ratably according to their respective Percentage Interest in effect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13" w:right="339" w:bottom="1440" w:gutter="0" w:footer="0" w:header="0"/>
        </w:sectPr>
      </w:pPr>
    </w:p>
    <w:bookmarkStart w:id="121" w:name="page122"/>
    <w:bookmarkEnd w:id="121"/>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the date on which such payment is sought under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(or, if such payment is sought after the date upon which the Commitments shall have terminated and the Loans shall have been paid in full, ratably in accordance with such Percentage Interest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Party’s gross negligence or willful misconduct. The agreements in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shall survive the termination of this Agreement and the payment of the Loans and all other amounts payable hereunder.</w:t>
      </w:r>
    </w:p>
    <w:p>
      <w:pPr>
        <w:spacing w:after="0" w:line="178"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010000"/>
        </w:rPr>
        <w:t>(e)</w:t>
      </w:r>
      <w:r>
        <w:rPr>
          <w:sz w:val="20"/>
          <w:szCs w:val="20"/>
          <w:color w:val="auto"/>
        </w:rPr>
        <w:tab/>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xml:space="preserve">. All amounts due under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shall be payable not later than thirty days after written demand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therefor.</w:t>
      </w:r>
    </w:p>
    <w:p>
      <w:pPr>
        <w:spacing w:after="0" w:line="20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color w:val="auto"/>
        </w:rPr>
        <w:t>Successors and Assigns; Participations and Assignments.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-10795</wp:posOffset>
            </wp:positionV>
            <wp:extent cx="29698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969895" cy="8255"/>
                    </a:xfrm>
                    <a:prstGeom prst="rect">
                      <a:avLst/>
                    </a:prstGeom>
                    <a:noFill/>
                  </pic:spPr>
                </pic:pic>
              </a:graphicData>
            </a:graphic>
          </wp:anchor>
        </w:drawing>
      </w:r>
    </w:p>
    <w:p>
      <w:pPr>
        <w:spacing w:after="0" w:line="8" w:lineRule="exact"/>
        <w:rPr>
          <w:sz w:val="20"/>
          <w:szCs w:val="20"/>
          <w:color w:val="auto"/>
        </w:rPr>
      </w:pPr>
    </w:p>
    <w:p>
      <w:pPr>
        <w:jc w:val="both"/>
        <w:ind w:firstLine="1304"/>
        <w:spacing w:after="0" w:line="263" w:lineRule="auto"/>
        <w:tabs>
          <w:tab w:leader="none" w:pos="1855" w:val="left"/>
        </w:tabs>
        <w:numPr>
          <w:ilvl w:val="1"/>
          <w:numId w:val="10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provisions of this Agreement shall be binding upon and inure to the benefit of the parties hereto and their respective successors and assigns permitted hereby (including any Affiliate of an Issuing Lender that issues any Letter of Credit), except that</w:t>
      </w:r>
    </w:p>
    <w:p>
      <w:pPr>
        <w:ind w:left="260" w:hanging="252"/>
        <w:spacing w:after="0"/>
        <w:tabs>
          <w:tab w:leader="none" w:pos="2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not assign or otherwise transfer any of its rights or obligations hereunder without the prior written consent of each</w:t>
      </w:r>
    </w:p>
    <w:p>
      <w:pPr>
        <w:spacing w:after="0" w:line="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Lender (and any attempted assignment or transfer by the Borrower without such consent shall be null and void) and (ii) no Lender may assign, participate or otherwise transfer its rights or obligations hereunder (x) to a Competitor without the Borrower’s prior written consent or</w:t>
      </w:r>
    </w:p>
    <w:p>
      <w:pPr>
        <w:spacing w:after="0" w:line="1" w:lineRule="exact"/>
        <w:rPr>
          <w:sz w:val="20"/>
          <w:szCs w:val="20"/>
          <w:color w:val="auto"/>
        </w:rPr>
      </w:pPr>
    </w:p>
    <w:p>
      <w:pPr>
        <w:jc w:val="both"/>
        <w:ind w:firstLine="8"/>
        <w:spacing w:after="0" w:line="249" w:lineRule="auto"/>
        <w:tabs>
          <w:tab w:leader="none" w:pos="2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otherwise except in accordance with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Nothing in this Agreement, expressed or implied, shall be construed to confer upon any Person (other than the parties hereto, their respective successors and assigns permitted hereby (including any Affiliate of an Issuing Lender that issues any Letter of Credit), Participants (to the extent provided in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and, to the extent expressly contemplated hereby, the Related Parties of each of the Administrative Agent, the Issuing Lenders and the Lenders) any legal or equitable right, remedy or claim under or by reason of this Agreement.</w:t>
      </w:r>
    </w:p>
    <w:p>
      <w:pPr>
        <w:spacing w:after="0" w:line="195" w:lineRule="exact"/>
        <w:rPr>
          <w:rFonts w:ascii="Times New Roman" w:cs="Times New Roman" w:eastAsia="Times New Roman" w:hAnsi="Times New Roman"/>
          <w:sz w:val="20"/>
          <w:szCs w:val="20"/>
          <w:color w:val="auto"/>
        </w:rPr>
      </w:pPr>
    </w:p>
    <w:p>
      <w:pPr>
        <w:jc w:val="both"/>
        <w:ind w:firstLine="1304"/>
        <w:spacing w:after="0" w:line="258" w:lineRule="auto"/>
        <w:tabs>
          <w:tab w:leader="none" w:pos="1846" w:val="left"/>
        </w:tabs>
        <w:numPr>
          <w:ilvl w:val="1"/>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 Subject to the conditions set forth in </w:t>
      </w:r>
      <w:r>
        <w:rPr>
          <w:rFonts w:ascii="Times New Roman" w:cs="Times New Roman" w:eastAsia="Times New Roman" w:hAnsi="Times New Roman"/>
          <w:sz w:val="20"/>
          <w:szCs w:val="20"/>
          <w:u w:val="single" w:color="auto"/>
          <w:color w:val="auto"/>
        </w:rPr>
        <w:t>paragraph (b)(ii)</w:t>
      </w:r>
      <w:r>
        <w:rPr>
          <w:rFonts w:ascii="Times New Roman" w:cs="Times New Roman" w:eastAsia="Times New Roman" w:hAnsi="Times New Roman"/>
          <w:sz w:val="20"/>
          <w:szCs w:val="20"/>
          <w:color w:val="auto"/>
        </w:rPr>
        <w:t xml:space="preserve"> below, any Lender may assign to one or more Eligible Assignees all or a portion of its rights and obligations under this Agreement (including all or a portion of its Commitment, participations in Letters of Credit and the Loans at the time owing to it) with the prior written consent (such consent not to be unreasonably withheld, conditioned or delayed) of:</w:t>
      </w:r>
    </w:p>
    <w:p>
      <w:pPr>
        <w:spacing w:after="0" w:line="172" w:lineRule="exact"/>
        <w:rPr>
          <w:rFonts w:ascii="Times New Roman" w:cs="Times New Roman" w:eastAsia="Times New Roman" w:hAnsi="Times New Roman"/>
          <w:sz w:val="20"/>
          <w:szCs w:val="20"/>
          <w:color w:val="010000"/>
        </w:rPr>
      </w:pPr>
    </w:p>
    <w:p>
      <w:pPr>
        <w:jc w:val="both"/>
        <w:ind w:left="1960" w:firstLine="640"/>
        <w:spacing w:after="0" w:line="257" w:lineRule="auto"/>
        <w:tabs>
          <w:tab w:leader="none" w:pos="3125" w:val="left"/>
        </w:tabs>
        <w:numPr>
          <w:ilvl w:val="2"/>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Borrower shall be deemed to have consented to an assignment of all or a portion of the Revolving Loans and Commitments unless it shall have objected thereto by written notice to the Administrative Agent within ten (10) Business Days after having received notice thereof and (ii) no consent of the Borrower shall be required for an assignment to a Lender, an Affiliate of a Lender, an Approved Fund or, if an Event of Default has occurred and is continuing,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13" w:right="339" w:bottom="1440" w:gutter="0" w:footer="0" w:header="0"/>
        </w:sectPr>
      </w:pPr>
    </w:p>
    <w:bookmarkStart w:id="122" w:name="page123"/>
    <w:bookmarkEnd w:id="122"/>
    <w:p>
      <w:pPr>
        <w:ind w:left="840" w:firstLine="640"/>
        <w:spacing w:after="0" w:line="283" w:lineRule="auto"/>
        <w:tabs>
          <w:tab w:leader="none" w:pos="1988" w:val="left"/>
        </w:tabs>
        <w:numPr>
          <w:ilvl w:val="1"/>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Administrative Agent shall be required for an assignment by a Lender to an Affiliate of such Lender; and</w:t>
      </w:r>
    </w:p>
    <w:p>
      <w:pPr>
        <w:spacing w:after="0" w:line="146" w:lineRule="exact"/>
        <w:rPr>
          <w:rFonts w:ascii="Times New Roman" w:cs="Times New Roman" w:eastAsia="Times New Roman" w:hAnsi="Times New Roman"/>
          <w:sz w:val="20"/>
          <w:szCs w:val="20"/>
          <w:color w:val="010000"/>
        </w:rPr>
      </w:pPr>
    </w:p>
    <w:p>
      <w:pPr>
        <w:ind w:left="840" w:firstLine="640"/>
        <w:spacing w:after="0" w:line="283" w:lineRule="auto"/>
        <w:tabs>
          <w:tab w:leader="none" w:pos="2119" w:val="left"/>
        </w:tabs>
        <w:numPr>
          <w:ilvl w:val="1"/>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Issuing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Issuing Lenders shall be required for an assignment by a Lender to an Affiliate of such Lender.</w:t>
      </w:r>
    </w:p>
    <w:p>
      <w:pPr>
        <w:spacing w:after="0" w:line="146" w:lineRule="exact"/>
        <w:rPr>
          <w:rFonts w:ascii="Times New Roman" w:cs="Times New Roman" w:eastAsia="Times New Roman" w:hAnsi="Times New Roman"/>
          <w:sz w:val="20"/>
          <w:szCs w:val="20"/>
          <w:color w:val="010000"/>
        </w:rPr>
      </w:pPr>
    </w:p>
    <w:p>
      <w:pPr>
        <w:ind w:left="1260" w:hanging="428"/>
        <w:spacing w:after="0"/>
        <w:tabs>
          <w:tab w:leader="none" w:pos="1260" w:val="left"/>
        </w:tabs>
        <w:numPr>
          <w:ilvl w:val="0"/>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Assignments shall be subject to the following additional conditions:</w:t>
      </w:r>
    </w:p>
    <w:p>
      <w:pPr>
        <w:spacing w:after="0" w:line="229" w:lineRule="exact"/>
        <w:rPr>
          <w:rFonts w:ascii="Times New Roman" w:cs="Times New Roman" w:eastAsia="Times New Roman" w:hAnsi="Times New Roman"/>
          <w:sz w:val="20"/>
          <w:szCs w:val="20"/>
          <w:color w:val="010000"/>
        </w:rPr>
      </w:pPr>
    </w:p>
    <w:p>
      <w:pPr>
        <w:jc w:val="both"/>
        <w:ind w:left="840" w:firstLine="640"/>
        <w:spacing w:after="0" w:line="264" w:lineRule="auto"/>
        <w:tabs>
          <w:tab w:leader="none" w:pos="2005" w:val="left"/>
        </w:tabs>
        <w:numPr>
          <w:ilvl w:val="1"/>
          <w:numId w:val="11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in the case of an assignment to a Lender, an Affiliate of a Lender or an Approved Fund or an assignment of the entire remaining amount of the assigning Lender’s Commitments or Loans of any Class, the amount of the Commitments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(1) no such consent of the Borrower shall be required if an Event of Default has occurred and is continuing and</w:t>
      </w:r>
    </w:p>
    <w:p>
      <w:pPr>
        <w:spacing w:after="0" w:line="4" w:lineRule="exact"/>
        <w:rPr>
          <w:rFonts w:ascii="Times New Roman" w:cs="Times New Roman" w:eastAsia="Times New Roman" w:hAnsi="Times New Roman"/>
          <w:sz w:val="19"/>
          <w:szCs w:val="19"/>
          <w:color w:val="010000"/>
        </w:rPr>
      </w:pPr>
    </w:p>
    <w:p>
      <w:pPr>
        <w:ind w:left="84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(2) such amounts shall be aggregated in respect of each Lender and its affiliates or Approved Funds, if any;</w:t>
      </w:r>
    </w:p>
    <w:p>
      <w:pPr>
        <w:spacing w:after="0" w:line="200" w:lineRule="exact"/>
        <w:rPr>
          <w:rFonts w:ascii="Times New Roman" w:cs="Times New Roman" w:eastAsia="Times New Roman" w:hAnsi="Times New Roman"/>
          <w:sz w:val="19"/>
          <w:szCs w:val="19"/>
          <w:color w:val="010000"/>
        </w:rPr>
      </w:pPr>
    </w:p>
    <w:p>
      <w:pPr>
        <w:jc w:val="both"/>
        <w:ind w:left="840" w:firstLine="640"/>
        <w:spacing w:after="0" w:line="274" w:lineRule="auto"/>
        <w:tabs>
          <w:tab w:leader="none" w:pos="2103" w:val="left"/>
        </w:tabs>
        <w:numPr>
          <w:ilvl w:val="1"/>
          <w:numId w:val="11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(1)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 (2) no assigning Lender shall have paid in full any amounts owing by it to the Administrative Agent; and</w:t>
      </w:r>
    </w:p>
    <w:p>
      <w:pPr>
        <w:spacing w:after="0" w:line="156" w:lineRule="exact"/>
        <w:rPr>
          <w:rFonts w:ascii="Times New Roman" w:cs="Times New Roman" w:eastAsia="Times New Roman" w:hAnsi="Times New Roman"/>
          <w:sz w:val="19"/>
          <w:szCs w:val="19"/>
          <w:color w:val="010000"/>
        </w:rPr>
      </w:pPr>
    </w:p>
    <w:p>
      <w:pPr>
        <w:jc w:val="both"/>
        <w:ind w:left="840" w:firstLine="640"/>
        <w:spacing w:after="0" w:line="253" w:lineRule="auto"/>
        <w:tabs>
          <w:tab w:leader="none" w:pos="2014" w:val="left"/>
        </w:tabs>
        <w:numPr>
          <w:ilvl w:val="1"/>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91" w:lineRule="exact"/>
        <w:rPr>
          <w:rFonts w:ascii="Times New Roman" w:cs="Times New Roman" w:eastAsia="Times New Roman" w:hAnsi="Times New Roman"/>
          <w:sz w:val="20"/>
          <w:szCs w:val="20"/>
          <w:color w:val="010000"/>
        </w:rPr>
      </w:pPr>
    </w:p>
    <w:p>
      <w:pPr>
        <w:jc w:val="both"/>
        <w:ind w:left="180" w:firstLine="652"/>
        <w:spacing w:after="0" w:line="251" w:lineRule="auto"/>
        <w:tabs>
          <w:tab w:leader="none" w:pos="1363" w:val="left"/>
        </w:tabs>
        <w:numPr>
          <w:ilvl w:val="0"/>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acceptance and recording thereof pursuant to </w:t>
      </w:r>
      <w:r>
        <w:rPr>
          <w:rFonts w:ascii="Times New Roman" w:cs="Times New Roman" w:eastAsia="Times New Roman" w:hAnsi="Times New Roman"/>
          <w:sz w:val="20"/>
          <w:szCs w:val="20"/>
          <w:u w:val="single" w:color="auto"/>
          <w:color w:val="auto"/>
        </w:rPr>
        <w:t>paragraph (b)(iv)</w:t>
      </w:r>
      <w:r>
        <w:rPr>
          <w:rFonts w:ascii="Times New Roman" w:cs="Times New Roman" w:eastAsia="Times New Roman" w:hAnsi="Times New Roman"/>
          <w:sz w:val="20"/>
          <w:szCs w:val="20"/>
          <w:color w:val="auto"/>
        </w:rPr>
        <w:t xml:space="preserve"> below, from and after the effective date specified in each Assignment and Assumption the Assignee thereunder shall be a party hereto and, to the extent of the interest assigned by such Assignment and Assumption, the Assignee shall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(as they relate to any period during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0120"/>
          </w:cols>
          <w:pgMar w:left="1440" w:top="1413" w:right="339" w:bottom="1440" w:gutter="0" w:footer="0" w:header="0"/>
        </w:sectPr>
      </w:pPr>
    </w:p>
    <w:bookmarkStart w:id="123" w:name="page124"/>
    <w:bookmarkEnd w:id="123"/>
    <w:p>
      <w:pPr>
        <w:jc w:val="both"/>
        <w:ind w:left="1300"/>
        <w:spacing w:after="0" w:line="261" w:lineRule="auto"/>
        <w:rPr>
          <w:sz w:val="20"/>
          <w:szCs w:val="20"/>
          <w:color w:val="auto"/>
        </w:rPr>
      </w:pPr>
      <w:r>
        <w:rPr>
          <w:rFonts w:ascii="Times New Roman" w:cs="Times New Roman" w:eastAsia="Times New Roman" w:hAnsi="Times New Roman"/>
          <w:sz w:val="20"/>
          <w:szCs w:val="20"/>
          <w:color w:val="auto"/>
        </w:rPr>
        <w:t xml:space="preserve">Lender was a party hereto), and </w:t>
      </w:r>
      <w:r>
        <w:rPr>
          <w:rFonts w:ascii="Times New Roman" w:cs="Times New Roman" w:eastAsia="Times New Roman" w:hAnsi="Times New Roman"/>
          <w:sz w:val="20"/>
          <w:szCs w:val="20"/>
          <w:u w:val="single" w:color="auto"/>
          <w:color w:val="auto"/>
        </w:rPr>
        <w:t>Sections 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Any assignment or transfer by a Lender of rights or obligations under this Agreement that does not comply with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left="1300" w:firstLine="652"/>
        <w:spacing w:after="0" w:line="251" w:lineRule="auto"/>
        <w:tabs>
          <w:tab w:leader="none" w:pos="2504" w:val="left"/>
        </w:tabs>
        <w:numPr>
          <w:ilvl w:val="2"/>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Commitments of, and principal amount of the Loans and L/C Obligations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No transfer or assignment of a Lender’s participation hereunder shall be effective unless and until recorded in the Register. The entries in the Register shall be conclusive absent manifest error, and the Borrower, the Administrative Agent, the Issuing Lender and the Lenders may treat each Person whose name is recorded in the Register pursuant to the terms hereof as a Lender hereunder for all purposes of this Agreement, notwithstanding notice to the contrary.</w:t>
      </w:r>
    </w:p>
    <w:p>
      <w:pPr>
        <w:spacing w:after="0" w:line="195" w:lineRule="exact"/>
        <w:rPr>
          <w:rFonts w:ascii="Times New Roman" w:cs="Times New Roman" w:eastAsia="Times New Roman" w:hAnsi="Times New Roman"/>
          <w:sz w:val="20"/>
          <w:szCs w:val="20"/>
          <w:color w:val="010000"/>
        </w:rPr>
      </w:pPr>
    </w:p>
    <w:p>
      <w:pPr>
        <w:jc w:val="both"/>
        <w:ind w:left="1300" w:firstLine="652"/>
        <w:spacing w:after="0" w:line="250" w:lineRule="auto"/>
        <w:tabs>
          <w:tab w:leader="none" w:pos="2460" w:val="left"/>
        </w:tabs>
        <w:numPr>
          <w:ilvl w:val="2"/>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and any written consent to such assignment required by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the Administrative Agent shall accept such Assignment and Assumption and record the information contained therein in the Register;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20"/>
          <w:szCs w:val="20"/>
          <w:u w:val="single" w:color="auto"/>
          <w:color w:val="auto"/>
        </w:rPr>
        <w:t>Section 2.4(b)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2.4(c)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9.7</w:t>
      </w:r>
      <w:r>
        <w:rPr>
          <w:rFonts w:ascii="Times New Roman" w:cs="Times New Roman" w:eastAsia="Times New Roman" w:hAnsi="Times New Roman"/>
          <w:sz w:val="20"/>
          <w:szCs w:val="20"/>
          <w:color w:val="auto"/>
        </w:rPr>
        <w:t xml:space="preserve">,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w:t>
      </w:r>
      <w:r>
        <w:rPr>
          <w:rFonts w:ascii="Times New Roman" w:cs="Times New Roman" w:eastAsia="Times New Roman" w:hAnsi="Times New Roman"/>
          <w:sz w:val="20"/>
          <w:szCs w:val="20"/>
          <w:u w:val="single" w:color="auto"/>
          <w:color w:val="auto"/>
        </w:rPr>
        <w:t>paragraph (v)</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758" w:val="left"/>
        </w:tabs>
        <w:numPr>
          <w:ilvl w:val="1"/>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10.6(a)(ii)</w:t>
      </w:r>
      <w:r>
        <w:rPr>
          <w:rFonts w:ascii="Times New Roman" w:cs="Times New Roman" w:eastAsia="Times New Roman" w:hAnsi="Times New Roman"/>
          <w:sz w:val="20"/>
          <w:szCs w:val="20"/>
          <w:color w:val="auto"/>
        </w:rPr>
        <w:t>, any Lender may, without the consent of, or notice to, the Borrower, the Administrative Agent or the Issuing Lenders, sell participations to one or more Persons provided such Persons are a banking institution, life insurance company, or other similar chartered or licensed financial institution that ordinarily is engaged in the business of making real estate loans, or any fund that is engaged in making, purchasing, holding or investing in bank loans and similar extensions of credit in the ordinary course of business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w:t>
      </w:r>
    </w:p>
    <w:p>
      <w:pPr>
        <w:spacing w:after="0" w:line="3" w:lineRule="exact"/>
        <w:rPr>
          <w:rFonts w:ascii="Times New Roman" w:cs="Times New Roman" w:eastAsia="Times New Roman" w:hAnsi="Times New Roman"/>
          <w:sz w:val="20"/>
          <w:szCs w:val="20"/>
          <w:color w:val="010000"/>
        </w:rPr>
      </w:pPr>
    </w:p>
    <w:p>
      <w:pPr>
        <w:jc w:val="both"/>
        <w:ind w:firstLine="8"/>
        <w:spacing w:after="0" w:line="250" w:lineRule="auto"/>
        <w:tabs>
          <w:tab w:leader="none" w:pos="29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remain solely responsible to the other parties hereto for the performance of such obligations; and (iii) the Borrower, the Administrative Agent, the Issuing Lenders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modification or waiver that (1) requires the consent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13" w:right="339" w:bottom="1440" w:gutter="0" w:footer="0" w:header="0"/>
        </w:sectPr>
      </w:pPr>
    </w:p>
    <w:bookmarkStart w:id="124" w:name="page125"/>
    <w:bookmarkEnd w:id="124"/>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Lender directly affected thereby pursuant to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of the proviso to the second sentence of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and (2) directly affects such Participant. The Borrower agrees that each Participant shall be entitled to the benefits of </w:t>
      </w:r>
      <w:r>
        <w:rPr>
          <w:rFonts w:ascii="Times New Roman" w:cs="Times New Roman" w:eastAsia="Times New Roman" w:hAnsi="Times New Roman"/>
          <w:sz w:val="19"/>
          <w:szCs w:val="19"/>
          <w:u w:val="single" w:color="auto"/>
          <w:color w:val="auto"/>
        </w:rPr>
        <w:t>Sections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xml:space="preserve"> to the same extent as if it were a Lender and had acquired its interest by assignment pursuant to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xml:space="preserve"> (subject to the requirements and limitations in such Sections, including the requirements under </w:t>
      </w:r>
      <w:r>
        <w:rPr>
          <w:rFonts w:ascii="Times New Roman" w:cs="Times New Roman" w:eastAsia="Times New Roman" w:hAnsi="Times New Roman"/>
          <w:sz w:val="19"/>
          <w:szCs w:val="19"/>
          <w:u w:val="single" w:color="auto"/>
          <w:color w:val="auto"/>
        </w:rPr>
        <w:t>Section 2.16(f)</w:t>
      </w:r>
      <w:r>
        <w:rPr>
          <w:rFonts w:ascii="Times New Roman" w:cs="Times New Roman" w:eastAsia="Times New Roman" w:hAnsi="Times New Roman"/>
          <w:sz w:val="19"/>
          <w:szCs w:val="19"/>
          <w:color w:val="auto"/>
        </w:rPr>
        <w:t xml:space="preserve"> (it being understood that the documentation required under </w:t>
      </w:r>
      <w:r>
        <w:rPr>
          <w:rFonts w:ascii="Times New Roman" w:cs="Times New Roman" w:eastAsia="Times New Roman" w:hAnsi="Times New Roman"/>
          <w:sz w:val="19"/>
          <w:szCs w:val="19"/>
          <w:u w:val="single" w:color="auto"/>
          <w:color w:val="auto"/>
        </w:rPr>
        <w:t>Section 2.16(f)</w:t>
      </w:r>
      <w:r>
        <w:rPr>
          <w:rFonts w:ascii="Times New Roman" w:cs="Times New Roman" w:eastAsia="Times New Roman" w:hAnsi="Times New Roman"/>
          <w:sz w:val="19"/>
          <w:szCs w:val="19"/>
          <w:color w:val="auto"/>
        </w:rPr>
        <w:t xml:space="preserve"> shall be delivered to the participating Lender)).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10.7(b)</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shall be subject to </w:t>
      </w:r>
      <w:r>
        <w:rPr>
          <w:rFonts w:ascii="Times New Roman" w:cs="Times New Roman" w:eastAsia="Times New Roman" w:hAnsi="Times New Roman"/>
          <w:sz w:val="19"/>
          <w:szCs w:val="19"/>
          <w:u w:val="single" w:color="auto"/>
          <w:color w:val="auto"/>
        </w:rPr>
        <w:t>Section 10.7(a)</w:t>
      </w:r>
      <w:r>
        <w:rPr>
          <w:rFonts w:ascii="Times New Roman" w:cs="Times New Roman" w:eastAsia="Times New Roman" w:hAnsi="Times New Roman"/>
          <w:sz w:val="19"/>
          <w:szCs w:val="19"/>
          <w:color w:val="auto"/>
        </w:rPr>
        <w:t xml:space="preserve"> as though it were a Lender.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with respect to any Participant.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A Participant shall not be entitled to receive any greater payment under Section 2.15 or 2.16 than the applicable Lender would have been entitled to receive with respect to the participation sold to such Participant, except to the extent such entitlement to receive a greater payment results from a change in any Requirement of Law that occurs after the Participant acquired the applicable participation.</w:t>
      </w:r>
    </w:p>
    <w:p>
      <w:pPr>
        <w:spacing w:after="0" w:line="180" w:lineRule="exact"/>
        <w:rPr>
          <w:sz w:val="20"/>
          <w:szCs w:val="20"/>
          <w:color w:val="auto"/>
        </w:rPr>
      </w:pPr>
    </w:p>
    <w:p>
      <w:pPr>
        <w:jc w:val="both"/>
        <w:ind w:firstLine="1304"/>
        <w:spacing w:after="0" w:line="258" w:lineRule="auto"/>
        <w:tabs>
          <w:tab w:leader="none" w:pos="1732"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10.6</w:t>
      </w:r>
      <w:r>
        <w:rPr>
          <w:rFonts w:ascii="Times New Roman" w:cs="Times New Roman" w:eastAsia="Times New Roman" w:hAnsi="Times New Roman"/>
          <w:sz w:val="20"/>
          <w:szCs w:val="20"/>
          <w:color w:val="auto"/>
        </w:rPr>
        <w:t xml:space="preserve">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72" w:lineRule="exact"/>
        <w:rPr>
          <w:rFonts w:ascii="Times New Roman" w:cs="Times New Roman" w:eastAsia="Times New Roman" w:hAnsi="Times New Roman"/>
          <w:sz w:val="20"/>
          <w:szCs w:val="20"/>
          <w:color w:val="010000"/>
        </w:rPr>
      </w:pPr>
    </w:p>
    <w:p>
      <w:pPr>
        <w:ind w:firstLine="1304"/>
        <w:spacing w:after="0" w:line="283" w:lineRule="auto"/>
        <w:tabs>
          <w:tab w:leader="none" w:pos="1759"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upon receipt of written notice from the relevant Lender, agrees to issue Notes to any Lender requiring Notes to facilitate transactions of the type described in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above.</w:t>
      </w:r>
    </w:p>
    <w:p>
      <w:pPr>
        <w:spacing w:after="0" w:line="14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9"/>
          <w:szCs w:val="19"/>
          <w:color w:val="auto"/>
        </w:rPr>
        <w:t>Adjustments; Setoff.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-10795</wp:posOffset>
            </wp:positionV>
            <wp:extent cx="11245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8" w:lineRule="exact"/>
        <w:rPr>
          <w:sz w:val="20"/>
          <w:szCs w:val="20"/>
          <w:color w:val="auto"/>
        </w:rPr>
      </w:pPr>
    </w:p>
    <w:p>
      <w:pPr>
        <w:jc w:val="both"/>
        <w:ind w:firstLine="1304"/>
        <w:spacing w:after="0" w:line="251" w:lineRule="auto"/>
        <w:tabs>
          <w:tab w:leader="none" w:pos="1727"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to the extent that this Agreement or a court order expressly provides for payments to be allocated to a particular Lender, if any Lender (a “</w:t>
      </w:r>
      <w:r>
        <w:rPr>
          <w:rFonts w:ascii="Times New Roman" w:cs="Times New Roman" w:eastAsia="Times New Roman" w:hAnsi="Times New Roman"/>
          <w:sz w:val="20"/>
          <w:szCs w:val="20"/>
          <w:u w:val="single" w:color="auto"/>
          <w:color w:val="auto"/>
        </w:rPr>
        <w:t>Benefitted Lender</w:t>
      </w:r>
      <w:r>
        <w:rPr>
          <w:rFonts w:ascii="Times New Roman" w:cs="Times New Roman" w:eastAsia="Times New Roman" w:hAnsi="Times New Roman"/>
          <w:sz w:val="20"/>
          <w:szCs w:val="20"/>
          <w:color w:val="auto"/>
        </w:rPr>
        <w:t xml:space="preserve">”) shall receive any payment of all or part of the Obligations owing to it (other than in connection with an assignment made pursuant to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or receive any collateral in respect thereof (whether voluntarily or involuntarily, by setoff, pursuant to events or proceedings of the nature referred to in </w:t>
      </w:r>
      <w:r>
        <w:rPr>
          <w:rFonts w:ascii="Times New Roman" w:cs="Times New Roman" w:eastAsia="Times New Roman" w:hAnsi="Times New Roman"/>
          <w:sz w:val="20"/>
          <w:szCs w:val="20"/>
          <w:u w:val="single" w:color="auto"/>
          <w:color w:val="auto"/>
        </w:rPr>
        <w:t>Section 8(f)</w:t>
      </w:r>
      <w:r>
        <w:rPr>
          <w:rFonts w:ascii="Times New Roman" w:cs="Times New Roman" w:eastAsia="Times New Roman" w:hAnsi="Times New Roman"/>
          <w:sz w:val="20"/>
          <w:szCs w:val="20"/>
          <w:color w:val="auto"/>
        </w:rPr>
        <w:t>,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13" w:right="339" w:bottom="1440" w:gutter="0" w:footer="0" w:header="0"/>
        </w:sectPr>
      </w:pPr>
    </w:p>
    <w:bookmarkStart w:id="125" w:name="page126"/>
    <w:bookmarkEnd w:id="125"/>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necessary to cause such Benefitted Lender to share the excess payment or benefits of such collateral ratably with each of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81" w:lineRule="exact"/>
        <w:rPr>
          <w:sz w:val="20"/>
          <w:szCs w:val="20"/>
          <w:color w:val="auto"/>
        </w:rPr>
      </w:pPr>
    </w:p>
    <w:p>
      <w:pPr>
        <w:jc w:val="both"/>
        <w:ind w:firstLine="1304"/>
        <w:spacing w:after="0" w:line="252" w:lineRule="auto"/>
        <w:tabs>
          <w:tab w:leader="none" w:pos="1741"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addition to any rights and remedies of the Lenders provided by law, each Lender and their respective Affiliates shall have the right, without notice to the Borrower, any such notice being expressly waived by the Borrower to the extent permitted by applicable law, upon any Obligations becoming due and payable by the Borrower (whether at the stated maturity, by acceleration or otherwise but after giving effect to any applicable period of grace),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Lender, any Affiliate thereof or any of their respective branches or agencies to or for the credit or the account of the Borrower. Each Lender agrees promptly to notify the Borrower and the Administrative Agent after any such application made by such Lender or its 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application.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10.8. Counterparts.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email or facsimile transmission shall be effective as delivery of a manually executed counterpart hereof. A set of the copies of this Agreement signed by all the parties shall be lodged with the Borrower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-483235</wp:posOffset>
            </wp:positionV>
            <wp:extent cx="8001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the Borrower and the Loan Parties,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13" w:right="339" w:bottom="1440" w:gutter="0" w:footer="0" w:header="0"/>
        </w:sectPr>
      </w:pPr>
    </w:p>
    <w:bookmarkStart w:id="126" w:name="page127"/>
    <w:bookmarkEnd w:id="126"/>
    <w:p>
      <w:pPr>
        <w:jc w:val="both"/>
        <w:spacing w:after="0" w:line="250" w:lineRule="auto"/>
        <w:rPr>
          <w:sz w:val="20"/>
          <w:szCs w:val="20"/>
          <w:color w:val="auto"/>
        </w:rPr>
      </w:pPr>
      <w:r>
        <w:rPr>
          <w:rFonts w:ascii="Times New Roman" w:cs="Times New Roman" w:eastAsia="Times New Roman" w:hAnsi="Times New Roman"/>
          <w:sz w:val="20"/>
          <w:szCs w:val="20"/>
          <w:color w:val="auto"/>
        </w:rPr>
        <w:t>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10.9. Severability; Headings.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-478155</wp:posOffset>
            </wp:positionV>
            <wp:extent cx="13163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Article and Section headings and the Table of Contents used herein are for convenience of reference only, are not part of this Agreement and shall not affect the construction of, or be taken into consideration in interpreting, this Agreement.</w:t>
      </w:r>
    </w:p>
    <w:p>
      <w:pPr>
        <w:spacing w:after="0" w:line="16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10.10. Integration. This Agreement and the other Loan Documents and any separate letter agreements with respect to (i) fees payable to the Administrative Agent and (ii) changes to the L/C Commitment of any Issuing Lender represent the entire agreement of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-631825</wp:posOffset>
            </wp:positionV>
            <wp:extent cx="7366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6600" cy="8255"/>
                    </a:xfrm>
                    <a:prstGeom prst="rect">
                      <a:avLst/>
                    </a:prstGeom>
                    <a:noFill/>
                  </pic:spPr>
                </pic:pic>
              </a:graphicData>
            </a:graphic>
          </wp:anchor>
        </w:drawing>
      </w: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10.11. GOVERNING LAW. THIS AGREEMENT AND THE RIGHTS AND OBLIGATIONS OF THE PARTIES UNDER THIS AGREEMENT SHALL BE GOVERNED BY, AND CONSTRUED AND INTERPRETED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-327660</wp:posOffset>
            </wp:positionV>
            <wp:extent cx="12052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5230" cy="8890"/>
                    </a:xfrm>
                    <a:prstGeom prst="rect">
                      <a:avLst/>
                    </a:prstGeom>
                    <a:noFill/>
                  </pic:spPr>
                </pic:pic>
              </a:graphicData>
            </a:graphic>
          </wp:anchor>
        </w:drawing>
      </w: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19"/>
          <w:szCs w:val="19"/>
          <w:color w:val="auto"/>
        </w:rPr>
        <w:t>Submission To Jurisdiction; Consent to Services of Process; Waivers.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-20320</wp:posOffset>
            </wp:positionV>
            <wp:extent cx="35826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582670" cy="8890"/>
                    </a:xfrm>
                    <a:prstGeom prst="rect">
                      <a:avLst/>
                    </a:prstGeom>
                    <a:noFill/>
                  </pic:spPr>
                </pic:pic>
              </a:graphicData>
            </a:graphic>
          </wp:anchor>
        </w:drawing>
      </w:r>
    </w:p>
    <w:p>
      <w:pPr>
        <w:jc w:val="both"/>
        <w:ind w:firstLine="1304"/>
        <w:spacing w:after="0" w:line="248" w:lineRule="auto"/>
        <w:tabs>
          <w:tab w:leader="none" w:pos="1765"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13" w:right="339" w:bottom="1440" w:gutter="0" w:footer="0" w:header="0"/>
        </w:sectPr>
      </w:pPr>
    </w:p>
    <w:bookmarkStart w:id="127" w:name="page128"/>
    <w:bookmarkEnd w:id="127"/>
    <w:p>
      <w:pPr>
        <w:jc w:val="both"/>
        <w:spacing w:after="0" w:line="252" w:lineRule="auto"/>
        <w:rPr>
          <w:sz w:val="20"/>
          <w:szCs w:val="20"/>
          <w:color w:val="auto"/>
        </w:rPr>
      </w:pPr>
      <w:r>
        <w:rPr>
          <w:rFonts w:ascii="Times New Roman" w:cs="Times New Roman" w:eastAsia="Times New Roman" w:hAnsi="Times New Roman"/>
          <w:sz w:val="20"/>
          <w:szCs w:val="20"/>
          <w:color w:val="auto"/>
        </w:rPr>
        <w:t>Nothing in this Agreement or in any other Loan Document shall (i) affect any right that the Administrative Agent, any Issuing Lender or any Lender may otherwise have to bring any action or Proceeding relating to this Agreement against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the issuing lender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spacing w:after="0" w:line="176" w:lineRule="exact"/>
        <w:rPr>
          <w:sz w:val="20"/>
          <w:szCs w:val="20"/>
          <w:color w:val="auto"/>
        </w:rPr>
      </w:pPr>
    </w:p>
    <w:p>
      <w:pPr>
        <w:jc w:val="both"/>
        <w:ind w:firstLine="1304"/>
        <w:spacing w:after="0" w:line="257" w:lineRule="auto"/>
        <w:tabs>
          <w:tab w:leader="none" w:pos="1843"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Each of the parties hereto hereby irrevocably waives, to the fullest extent permitted by law, the defense of an inconvenient forum to the maintenance of such action or Proceeding in any such court.</w:t>
      </w:r>
    </w:p>
    <w:p>
      <w:pPr>
        <w:spacing w:after="0" w:line="172" w:lineRule="exact"/>
        <w:rPr>
          <w:rFonts w:ascii="Times New Roman" w:cs="Times New Roman" w:eastAsia="Times New Roman" w:hAnsi="Times New Roman"/>
          <w:sz w:val="20"/>
          <w:szCs w:val="20"/>
          <w:color w:val="010000"/>
        </w:rPr>
      </w:pPr>
    </w:p>
    <w:p>
      <w:pPr>
        <w:ind w:firstLine="1304"/>
        <w:spacing w:after="0" w:line="283" w:lineRule="auto"/>
        <w:tabs>
          <w:tab w:leader="none" w:pos="1753"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party to this Agreement irrevocably consents to service of process in the manner provided for notices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10.2</w:t>
      </w:r>
      <w:r>
        <w:rPr>
          <w:rFonts w:ascii="Times New Roman" w:cs="Times New Roman" w:eastAsia="Times New Roman" w:hAnsi="Times New Roman"/>
          <w:sz w:val="20"/>
          <w:szCs w:val="20"/>
          <w:color w:val="auto"/>
        </w:rPr>
        <w:t>. Nothing in this Agreement will affect the right of any party to this Agreement to serve process in any other manner permitted by law.</w:t>
      </w:r>
    </w:p>
    <w:p>
      <w:pPr>
        <w:spacing w:after="0" w:line="159"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21"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hereby irrevocably and unconditionally waives, to the maximum extent not prohibited by law, any right it may have to claim or recover in any legal action or Proceeding referred to in this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xml:space="preserve"> any special, exemplary, punitive or consequential damages.</w:t>
      </w:r>
    </w:p>
    <w:p>
      <w:pPr>
        <w:spacing w:after="0" w:line="16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19"/>
          <w:szCs w:val="19"/>
          <w:u w:val="single" w:color="auto"/>
          <w:color w:val="auto"/>
        </w:rPr>
        <w:t>Acknowledgements</w:t>
      </w:r>
      <w:r>
        <w:rPr>
          <w:rFonts w:ascii="Times New Roman" w:cs="Times New Roman" w:eastAsia="Times New Roman" w:hAnsi="Times New Roman"/>
          <w:sz w:val="19"/>
          <w:szCs w:val="19"/>
          <w:color w:val="auto"/>
        </w:rPr>
        <w:t>. The Borrower hereby acknowledges that:</w:t>
      </w:r>
    </w:p>
    <w:p>
      <w:pPr>
        <w:spacing w:after="0" w:line="28" w:lineRule="exact"/>
        <w:rPr>
          <w:sz w:val="20"/>
          <w:szCs w:val="20"/>
          <w:color w:val="auto"/>
        </w:rPr>
      </w:pPr>
    </w:p>
    <w:p>
      <w:pPr>
        <w:ind w:left="1860" w:hanging="556"/>
        <w:spacing w:after="0"/>
        <w:tabs>
          <w:tab w:leader="none" w:pos="1860"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it has been advised by counsel in the negotiation, execution and delivery of this Agreement and the other Loan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Documents;</w:t>
      </w:r>
    </w:p>
    <w:p>
      <w:pPr>
        <w:spacing w:after="0" w:line="207" w:lineRule="exact"/>
        <w:rPr>
          <w:sz w:val="20"/>
          <w:szCs w:val="20"/>
          <w:color w:val="auto"/>
        </w:rPr>
      </w:pPr>
    </w:p>
    <w:p>
      <w:pPr>
        <w:jc w:val="both"/>
        <w:ind w:firstLine="1304"/>
        <w:spacing w:after="0" w:line="261" w:lineRule="auto"/>
        <w:tabs>
          <w:tab w:leader="none" w:pos="1729" w:val="left"/>
        </w:tabs>
        <w:numPr>
          <w:ilvl w:val="0"/>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Administrative Agent nor any Lender has any fiduciary relationship with or duty to the Borrower arising out of or in connection with this Agreement or any of the other Loan Documents, and the relationship between Administrative Agent and Lenders, on one hand, and the Borrower, on the other hand, in connection herewith or therewith is solely that of debtor and creditor;</w:t>
      </w:r>
    </w:p>
    <w:p>
      <w:pPr>
        <w:spacing w:after="0" w:line="181" w:lineRule="exact"/>
        <w:rPr>
          <w:rFonts w:ascii="Times New Roman" w:cs="Times New Roman" w:eastAsia="Times New Roman" w:hAnsi="Times New Roman"/>
          <w:sz w:val="20"/>
          <w:szCs w:val="20"/>
          <w:color w:val="010000"/>
        </w:rPr>
      </w:pPr>
    </w:p>
    <w:p>
      <w:pPr>
        <w:ind w:right="20" w:firstLine="1304"/>
        <w:spacing w:after="0" w:line="269" w:lineRule="auto"/>
        <w:tabs>
          <w:tab w:leader="none" w:pos="1793" w:val="left"/>
        </w:tabs>
        <w:numPr>
          <w:ilvl w:val="0"/>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joint venture is created hereby or by the other Loan Documents or otherwise exists by virtue of the transactions contemplated hereby among the Lenders or among the Borrower and the Lenders; and</w:t>
      </w:r>
    </w:p>
    <w:p>
      <w:pPr>
        <w:spacing w:after="0" w:line="172" w:lineRule="exact"/>
        <w:rPr>
          <w:rFonts w:ascii="Times New Roman" w:cs="Times New Roman" w:eastAsia="Times New Roman" w:hAnsi="Times New Roman"/>
          <w:sz w:val="20"/>
          <w:szCs w:val="20"/>
          <w:color w:val="010000"/>
        </w:rPr>
      </w:pPr>
    </w:p>
    <w:p>
      <w:pPr>
        <w:ind w:firstLine="1304"/>
        <w:spacing w:after="0" w:line="283" w:lineRule="auto"/>
        <w:tabs>
          <w:tab w:leader="none" w:pos="1748" w:val="left"/>
        </w:tabs>
        <w:numPr>
          <w:ilvl w:val="0"/>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Administrative Agent nor any Lender is advising the Borrower as to any legal, tax, investment, accounting, regulatory or any other matters in any jurisdiction.</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13" w:right="339" w:bottom="1440" w:gutter="0" w:footer="0" w:header="0"/>
        </w:sectPr>
      </w:pPr>
    </w:p>
    <w:bookmarkStart w:id="128" w:name="page129"/>
    <w:bookmarkEnd w:id="128"/>
    <w:p>
      <w:pPr>
        <w:jc w:val="both"/>
        <w:spacing w:after="0" w:line="258" w:lineRule="auto"/>
        <w:rPr>
          <w:sz w:val="20"/>
          <w:szCs w:val="20"/>
          <w:color w:val="auto"/>
        </w:rPr>
      </w:pPr>
      <w:r>
        <w:rPr>
          <w:rFonts w:ascii="Times New Roman" w:cs="Times New Roman" w:eastAsia="Times New Roman" w:hAnsi="Times New Roman"/>
          <w:sz w:val="20"/>
          <w:szCs w:val="20"/>
          <w:color w:val="auto"/>
        </w:rPr>
        <w:t>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10.14. Releases of Guarantees. Notwithstanding anything to the contrary contained herein or in any other Loan Document, Administrative Agent is hereby irrevocably authorized by each Lender (without requirement of notice to or consent of any Lender except as expressly required by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to take any action requested by Borrower having the effect of releasing any guarantee obligations to the extent necessary to permit consummation of any transaction not prohibited by any Loan Document or that has been consented to in accordance with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releases of Guarantors must comply with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unless otherwise consented to by the Lenders in accordance with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-781050</wp:posOffset>
            </wp:positionV>
            <wp:extent cx="14433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43355" cy="8890"/>
                    </a:xfrm>
                    <a:prstGeom prst="rect">
                      <a:avLst/>
                    </a:prstGeom>
                    <a:noFill/>
                  </pic:spPr>
                </pic:pic>
              </a:graphicData>
            </a:graphic>
          </wp:anchor>
        </w:drawing>
      </w: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10.15. Confidentiality; Material Non-Public Information. Each of the Administrative Agent, the Issuing Lenders and the Lenders agrees to maintain the confidentiality of the Information (as defined below), except that Information may be disclosed (a) to its Affiliates and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process,(d) to any other party to this Agreement, </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rPr>
        <w:t>(e)</w:t>
      </w:r>
      <w:r>
        <w:rPr>
          <w:rFonts w:ascii="Times New Roman" w:cs="Times New Roman" w:eastAsia="Times New Roman" w:hAnsi="Times New Roman"/>
          <w:sz w:val="20"/>
          <w:szCs w:val="20"/>
          <w:color w:val="auto"/>
        </w:rPr>
        <w:t xml:space="preserve"> in connection with the exercise of any remedies hereunder or under any other Loan Document or any suit, action or Proceeding relating to this Agreement or the enforcement of rights hereunder or under any other Loan Document, (f) subject to an agreement containing provisions substantially the same as those of this </w:t>
      </w:r>
      <w:r>
        <w:rPr>
          <w:rFonts w:ascii="Times New Roman" w:cs="Times New Roman" w:eastAsia="Times New Roman" w:hAnsi="Times New Roman"/>
          <w:sz w:val="20"/>
          <w:szCs w:val="20"/>
          <w:u w:val="single" w:color="auto"/>
          <w:color w:val="auto"/>
        </w:rPr>
        <w:t>Section 10.15</w:t>
      </w:r>
      <w:r>
        <w:rPr>
          <w:rFonts w:ascii="Times New Roman" w:cs="Times New Roman" w:eastAsia="Times New Roman" w:hAnsi="Times New Roman"/>
          <w:sz w:val="20"/>
          <w:szCs w:val="20"/>
          <w:color w:val="auto"/>
        </w:rPr>
        <w:t xml:space="preserve">, to (1) any assignee of or Participant in, or any prospective assignee of or Participant in, any of its rights or obligations under this Agreement or (2) any actual or prospective counterparty (or its advisors) to any swap or derivative transaction relating to the Borrower and its obligations, (g) on a confidential basis to (1) any rating agency in connection with rating the Borrower or its Subsidiaries or the credit facilities provided for herein or (2) the CUSIP Service Bureau or any similar agency in connection with the issuance and monitoring of identification numbers with respect to the credit facilities provided for herein, (h) with the consent of the Borrower or (i) to the extent such Information (1) becomes publicly available other than as a result of a breach of this </w:t>
      </w:r>
      <w:r>
        <w:rPr>
          <w:rFonts w:ascii="Times New Roman" w:cs="Times New Roman" w:eastAsia="Times New Roman" w:hAnsi="Times New Roman"/>
          <w:sz w:val="20"/>
          <w:szCs w:val="20"/>
          <w:u w:val="single" w:color="auto"/>
          <w:color w:val="auto"/>
        </w:rPr>
        <w:t>Section 10.15</w:t>
      </w:r>
      <w:r>
        <w:rPr>
          <w:rFonts w:ascii="Times New Roman" w:cs="Times New Roman" w:eastAsia="Times New Roman" w:hAnsi="Times New Roman"/>
          <w:sz w:val="20"/>
          <w:szCs w:val="20"/>
          <w:color w:val="auto"/>
        </w:rPr>
        <w:t xml:space="preserve"> or (2) becomes available to the Administrative Agent, any Issuing Lender or any Lender on a non-confidential basis from a source other than the Borrower. For the purposes of this </w:t>
      </w:r>
      <w:r>
        <w:rPr>
          <w:rFonts w:ascii="Times New Roman" w:cs="Times New Roman" w:eastAsia="Times New Roman" w:hAnsi="Times New Roman"/>
          <w:sz w:val="20"/>
          <w:szCs w:val="20"/>
          <w:u w:val="single" w:color="auto"/>
          <w:color w:val="auto"/>
        </w:rPr>
        <w:t>Section 10.15</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means all information received from the Borrower relating to the Borrower or its business, other than any such information that is available to the Administrative Agent, any Issuing Lender or any Lender on a non-confidential basis prior to disclosure by the Borrower and other than information pertaining to this Agreement routinely provided by arrangers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-2741930</wp:posOffset>
            </wp:positionV>
            <wp:extent cx="26720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7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13" w:right="339" w:bottom="1440" w:gutter="0" w:footer="0" w:header="0"/>
        </w:sectPr>
      </w:pPr>
    </w:p>
    <w:bookmarkStart w:id="129" w:name="page130"/>
    <w:bookmarkEnd w:id="129"/>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data service providers, including league table providers, that serve the lending industry;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w:t>
      </w:r>
      <w:r>
        <w:rPr>
          <w:rFonts w:ascii="Times New Roman" w:cs="Times New Roman" w:eastAsia="Times New Roman" w:hAnsi="Times New Roman"/>
          <w:sz w:val="20"/>
          <w:szCs w:val="20"/>
          <w:u w:val="single" w:color="auto"/>
          <w:color w:val="auto"/>
        </w:rPr>
        <w:t>Section 10.15</w:t>
      </w:r>
      <w:r>
        <w:rPr>
          <w:rFonts w:ascii="Times New Roman" w:cs="Times New Roman" w:eastAsia="Times New Roman" w:hAnsi="Times New Roman"/>
          <w:sz w:val="20"/>
          <w:szCs w:val="20"/>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For the avoidance of doubt, nothing in this </w:t>
      </w:r>
      <w:r>
        <w:rPr>
          <w:rFonts w:ascii="Times New Roman" w:cs="Times New Roman" w:eastAsia="Times New Roman" w:hAnsi="Times New Roman"/>
          <w:sz w:val="20"/>
          <w:szCs w:val="20"/>
          <w:u w:val="single" w:color="auto"/>
          <w:color w:val="auto"/>
        </w:rPr>
        <w:t>Section 10.15</w:t>
      </w:r>
      <w:r>
        <w:rPr>
          <w:rFonts w:ascii="Times New Roman" w:cs="Times New Roman" w:eastAsia="Times New Roman" w:hAnsi="Times New Roman"/>
          <w:sz w:val="20"/>
          <w:szCs w:val="20"/>
          <w:color w:val="auto"/>
        </w:rPr>
        <w:t xml:space="preserve">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20"/>
          <w:szCs w:val="20"/>
          <w:u w:val="single" w:color="auto"/>
          <w:color w:val="auto"/>
        </w:rPr>
        <w:t>Regulatory Authority</w:t>
      </w:r>
      <w:r>
        <w:rPr>
          <w:rFonts w:ascii="Times New Roman" w:cs="Times New Roman" w:eastAsia="Times New Roman" w:hAnsi="Times New Roman"/>
          <w:sz w:val="20"/>
          <w:szCs w:val="20"/>
          <w:color w:val="auto"/>
        </w:rPr>
        <w:t xml:space="preserve">”) to the extent that any such prohibition on disclosure set forth in this </w:t>
      </w:r>
      <w:r>
        <w:rPr>
          <w:rFonts w:ascii="Times New Roman" w:cs="Times New Roman" w:eastAsia="Times New Roman" w:hAnsi="Times New Roman"/>
          <w:sz w:val="20"/>
          <w:szCs w:val="20"/>
          <w:u w:val="single" w:color="auto"/>
          <w:color w:val="auto"/>
        </w:rPr>
        <w:t>Section 10.15</w:t>
      </w:r>
      <w:r>
        <w:rPr>
          <w:rFonts w:ascii="Times New Roman" w:cs="Times New Roman" w:eastAsia="Times New Roman" w:hAnsi="Times New Roman"/>
          <w:sz w:val="20"/>
          <w:szCs w:val="20"/>
          <w:color w:val="auto"/>
        </w:rPr>
        <w:t xml:space="preserve"> shall be prohibited by the laws or regulations applicable to such Regulatory Authority.</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EACH LENDER ACKNOWLEDGES THAT INFORMATION AS DEFINED IN THIS </w:t>
      </w:r>
      <w:r>
        <w:rPr>
          <w:rFonts w:ascii="Times New Roman" w:cs="Times New Roman" w:eastAsia="Times New Roman" w:hAnsi="Times New Roman"/>
          <w:sz w:val="20"/>
          <w:szCs w:val="20"/>
          <w:u w:val="single" w:color="auto"/>
          <w:color w:val="auto"/>
        </w:rPr>
        <w:t>SECTION 10.15</w:t>
      </w:r>
      <w:r>
        <w:rPr>
          <w:rFonts w:ascii="Times New Roman" w:cs="Times New Roman" w:eastAsia="Times New Roman" w:hAnsi="Times New Roman"/>
          <w:sz w:val="20"/>
          <w:szCs w:val="20"/>
          <w:color w:val="auto"/>
        </w:rPr>
        <w:t xml:space="preserve">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8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10.16. WAIVERS OF JURY TRIAL.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-780415</wp:posOffset>
            </wp:positionV>
            <wp:extent cx="16395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39570" cy="8255"/>
                    </a:xfrm>
                    <a:prstGeom prst="rect">
                      <a:avLst/>
                    </a:prstGeom>
                    <a:noFill/>
                  </pic:spPr>
                </pic:pic>
              </a:graphicData>
            </a:graphic>
          </wp:anchor>
        </w:drawing>
      </w:r>
    </w:p>
    <w:p>
      <w:pPr>
        <w:ind w:firstLine="8"/>
        <w:spacing w:after="0" w:line="246" w:lineRule="auto"/>
        <w:tabs>
          <w:tab w:leader="none" w:pos="37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20"/>
          <w:szCs w:val="20"/>
          <w:u w:val="single" w:color="auto"/>
          <w:color w:val="auto"/>
        </w:rPr>
        <w:t>SECTION 10.16</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jc w:val="both"/>
        <w:ind w:firstLine="648"/>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10.17. USA Patriot Act. Each Lender hereby notifies the Borrower that pursuant to the requirements of the USA Patriot Act (Title III of Pub. L. 107-56 (signed into law October 26, 2001)) (the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it is required to obtain, verify and record information that identifies the Borrower, which information includes the name and address of the Borrower and other information that will allow such Lender to identify the Borrower in accordance with the Patriot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-490220</wp:posOffset>
            </wp:positionV>
            <wp:extent cx="9734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73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13" w:right="339" w:bottom="1440" w:gutter="0" w:footer="0" w:header="0"/>
        </w:sectPr>
      </w:pPr>
    </w:p>
    <w:bookmarkStart w:id="130" w:name="page131"/>
    <w:bookmarkEnd w:id="130"/>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10.18.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-628650</wp:posOffset>
            </wp:positionV>
            <wp:extent cx="40690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069080" cy="8255"/>
                    </a:xfrm>
                    <a:prstGeom prst="rect">
                      <a:avLst/>
                    </a:prstGeom>
                    <a:noFill/>
                  </pic:spPr>
                </pic:pic>
              </a:graphicData>
            </a:graphic>
          </wp:anchor>
        </w:drawing>
      </w:r>
    </w:p>
    <w:p>
      <w:pPr>
        <w:ind w:firstLine="1304"/>
        <w:spacing w:after="0" w:line="267" w:lineRule="auto"/>
        <w:tabs>
          <w:tab w:leader="none" w:pos="1870"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29" w:lineRule="exact"/>
        <w:rPr>
          <w:rFonts w:ascii="Times New Roman" w:cs="Times New Roman" w:eastAsia="Times New Roman" w:hAnsi="Times New Roman"/>
          <w:sz w:val="20"/>
          <w:szCs w:val="20"/>
          <w:color w:val="010000"/>
        </w:rPr>
      </w:pPr>
    </w:p>
    <w:p>
      <w:pPr>
        <w:ind w:left="2340" w:hanging="388"/>
        <w:spacing w:after="0"/>
        <w:tabs>
          <w:tab w:leader="none" w:pos="2340" w:val="left"/>
        </w:tabs>
        <w:numPr>
          <w:ilvl w:val="1"/>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010000"/>
        </w:rPr>
      </w:pPr>
    </w:p>
    <w:p>
      <w:pPr>
        <w:jc w:val="both"/>
        <w:ind w:left="1300" w:firstLine="652"/>
        <w:spacing w:after="0" w:line="258" w:lineRule="auto"/>
        <w:tabs>
          <w:tab w:leader="none" w:pos="2392" w:val="left"/>
        </w:tabs>
        <w:numPr>
          <w:ilvl w:val="1"/>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5" w:lineRule="exact"/>
        <w:rPr>
          <w:rFonts w:ascii="Times New Roman" w:cs="Times New Roman" w:eastAsia="Times New Roman" w:hAnsi="Times New Roman"/>
          <w:sz w:val="20"/>
          <w:szCs w:val="20"/>
          <w:color w:val="010000"/>
        </w:rPr>
      </w:pPr>
    </w:p>
    <w:p>
      <w:pPr>
        <w:ind w:left="1300" w:firstLine="652"/>
        <w:spacing w:after="0" w:line="269" w:lineRule="auto"/>
        <w:tabs>
          <w:tab w:leader="none" w:pos="2471" w:val="left"/>
        </w:tabs>
        <w:numPr>
          <w:ilvl w:val="1"/>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10.19. Acknowledgment Regarding Any Supported QFCs.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-2743835</wp:posOffset>
            </wp:positionV>
            <wp:extent cx="28244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24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13" w:right="339" w:bottom="1440" w:gutter="0" w:footer="0" w:header="0"/>
        </w:sectPr>
      </w:pPr>
    </w:p>
    <w:bookmarkStart w:id="131" w:name="page132"/>
    <w:bookmarkEnd w:id="131"/>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10.20. Judgment Currency.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20"/>
          <w:szCs w:val="20"/>
          <w:u w:val="single" w:color="auto"/>
          <w:color w:val="auto"/>
        </w:rPr>
        <w:t>Judgment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Currency</w:t>
      </w:r>
      <w:r>
        <w:rPr>
          <w:rFonts w:ascii="Times New Roman" w:cs="Times New Roman" w:eastAsia="Times New Roman" w:hAnsi="Times New Roman"/>
          <w:sz w:val="20"/>
          <w:szCs w:val="20"/>
          <w:color w:val="auto"/>
        </w:rPr>
        <w:t>”) other than that in which such sum is denominated in accordance with the applicable provisions of this Agreement (the “</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-1986280</wp:posOffset>
            </wp:positionV>
            <wp:extent cx="11303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21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10.21. Interest Rate Limitation.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exceed the maximum lawful rate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w:t>
      </w:r>
      <w:r>
        <w:rPr>
          <w:rFonts w:ascii="Times New Roman" w:cs="Times New Roman" w:eastAsia="Times New Roman" w:hAnsi="Times New Roman"/>
          <w:sz w:val="20"/>
          <w:szCs w:val="20"/>
          <w:u w:val="single" w:color="auto"/>
          <w:color w:val="auto"/>
        </w:rPr>
        <w:t>Section 10.21</w:t>
      </w:r>
      <w:r>
        <w:rPr>
          <w:rFonts w:ascii="Times New Roman" w:cs="Times New Roman" w:eastAsia="Times New Roman" w:hAnsi="Times New Roman"/>
          <w:sz w:val="20"/>
          <w:szCs w:val="20"/>
          <w:color w:val="auto"/>
        </w:rPr>
        <w:t xml:space="preserve">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-1243965</wp:posOffset>
            </wp:positionV>
            <wp:extent cx="13684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68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13"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920750</wp:posOffset>
            </wp:positionV>
            <wp:extent cx="1071245" cy="900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7124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Beazer Homes Announces Expansion of Revolving Credit Facility to $525 million</w:t>
      </w:r>
    </w:p>
    <w:p>
      <w:pPr>
        <w:spacing w:after="0" w:line="359" w:lineRule="exact"/>
        <w:rPr>
          <w:sz w:val="20"/>
          <w:szCs w:val="20"/>
          <w:color w:val="auto"/>
        </w:rPr>
      </w:pPr>
    </w:p>
    <w:p>
      <w:pPr>
        <w:ind w:right="40"/>
        <w:spacing w:after="0" w:line="282" w:lineRule="auto"/>
        <w:rPr>
          <w:sz w:val="20"/>
          <w:szCs w:val="20"/>
          <w:color w:val="auto"/>
        </w:rPr>
      </w:pPr>
      <w:r>
        <w:rPr>
          <w:rFonts w:ascii="Arial" w:cs="Arial" w:eastAsia="Arial" w:hAnsi="Arial"/>
          <w:sz w:val="22"/>
          <w:szCs w:val="22"/>
          <w:color w:val="auto"/>
        </w:rPr>
        <w:t>ATLANTA—(BUSINESS WIRE)—March 17, 2026—Beazer Homes USA, Inc. (the “Company”) (NYSE: BZH) announced that it has entered into a third amendment to its existing senior unsecured revolving credit facility (“Credit Facility”) that increased the available aggregate commitment amount by $160 million to $525 million. The amendment also extends the maturity date of the Credit Facility from March 15, 2028 to March 13, 2030.</w:t>
      </w:r>
    </w:p>
    <w:p>
      <w:pPr>
        <w:spacing w:after="0" w:line="161" w:lineRule="exact"/>
        <w:rPr>
          <w:sz w:val="20"/>
          <w:szCs w:val="20"/>
          <w:color w:val="auto"/>
        </w:rPr>
      </w:pPr>
    </w:p>
    <w:p>
      <w:pPr>
        <w:ind w:right="220"/>
        <w:spacing w:after="0" w:line="309" w:lineRule="auto"/>
        <w:rPr>
          <w:sz w:val="20"/>
          <w:szCs w:val="20"/>
          <w:color w:val="auto"/>
        </w:rPr>
      </w:pPr>
      <w:r>
        <w:rPr>
          <w:rFonts w:ascii="Arial" w:cs="Arial" w:eastAsia="Arial" w:hAnsi="Arial"/>
          <w:sz w:val="21"/>
          <w:szCs w:val="21"/>
          <w:color w:val="auto"/>
        </w:rPr>
        <w:t>The amendment to the Credit Facility was arranged by JP Morgan Chase Bank, N.A., Royal Bank of Canada, Truist Securities, Inc. and Regions Capital Markets, a division of Regions Bank. Royal Bank of Canada, Truist Bank and Regions Bank served as Syndication Agents, and JP Morgan Chase Bank, N.A., as Administrative Agent.</w:t>
      </w:r>
    </w:p>
    <w:p>
      <w:pPr>
        <w:spacing w:after="0" w:line="80" w:lineRule="exact"/>
        <w:rPr>
          <w:sz w:val="20"/>
          <w:szCs w:val="20"/>
          <w:color w:val="auto"/>
        </w:rPr>
      </w:pPr>
    </w:p>
    <w:p>
      <w:pPr>
        <w:ind w:right="240"/>
        <w:spacing w:after="0" w:line="282" w:lineRule="auto"/>
        <w:rPr>
          <w:sz w:val="20"/>
          <w:szCs w:val="20"/>
          <w:color w:val="auto"/>
        </w:rPr>
      </w:pPr>
      <w:r>
        <w:rPr>
          <w:rFonts w:ascii="Arial" w:cs="Arial" w:eastAsia="Arial" w:hAnsi="Arial"/>
          <w:sz w:val="22"/>
          <w:szCs w:val="22"/>
          <w:color w:val="auto"/>
        </w:rPr>
        <w:t>“We continue to execute our differentiated product strategy and progress toward achieving our Multi-Year Goals for growing community count, de-leveraging, and increasing book value per share,” said David Goldberg, Senior Vice President and Chief Financial Officer. “The expanded revolver provides increased liquidity and financial flexibility as we pursue these goals and reflects the broad support from our valued banking partners.”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About Beazer Homes</w:t>
      </w:r>
    </w:p>
    <w:p>
      <w:pPr>
        <w:spacing w:after="0" w:line="193" w:lineRule="exact"/>
        <w:rPr>
          <w:sz w:val="20"/>
          <w:szCs w:val="20"/>
          <w:color w:val="auto"/>
        </w:rPr>
      </w:pPr>
    </w:p>
    <w:p>
      <w:pPr>
        <w:ind w:right="40"/>
        <w:spacing w:after="0" w:line="278" w:lineRule="auto"/>
        <w:rPr>
          <w:sz w:val="20"/>
          <w:szCs w:val="20"/>
          <w:color w:val="auto"/>
        </w:rPr>
      </w:pPr>
      <w:r>
        <w:rPr>
          <w:rFonts w:ascii="Arial" w:cs="Arial" w:eastAsia="Arial" w:hAnsi="Arial"/>
          <w:sz w:val="22"/>
          <w:szCs w:val="22"/>
          <w:i w:val="1"/>
          <w:iCs w:val="1"/>
          <w:color w:val="auto"/>
        </w:rPr>
        <w:t>Beazer Homes (NYSE: BZH), headquartered in Atlanta, Georgia, is a leading national homebuilder in energy-efficient construction. Building on a legacy spanning nine generations, Beazer crafts homes that deliver savings and lasting value. Our trusted team of experts guide homebuyers through the building and purchasing process to deliver an industry-leading customer experience. With curated design options, buyers can personalize their homes with confidence. Beazer's exclusive Mortgage Choice program provides access to competitive loan offers from multiple lenders, helping homebuyers choose the best financing for their individual needs. Beazer builds in 13 states nationwide. Learn more at beazer.com or follow us @BeazerHomes.</w:t>
      </w:r>
    </w:p>
    <w:p>
      <w:pPr>
        <w:sectPr>
          <w:pgSz w:w="11900" w:h="16838" w:orient="portrait"/>
          <w:cols w:equalWidth="0" w:num="1">
            <w:col w:w="11240"/>
          </w:cols>
          <w:pgMar w:left="320" w:top="124" w:right="339" w:bottom="1440" w:gutter="0" w:footer="0" w:header="0"/>
        </w:sectPr>
      </w:pPr>
    </w:p>
    <w:bookmarkStart w:id="133" w:name="page134"/>
    <w:bookmarkEnd w:id="133"/>
    <w:p>
      <w:pPr>
        <w:ind w:right="80"/>
        <w:spacing w:after="0" w:line="293" w:lineRule="auto"/>
        <w:rPr>
          <w:sz w:val="20"/>
          <w:szCs w:val="20"/>
          <w:color w:val="auto"/>
        </w:rPr>
      </w:pPr>
      <w:r>
        <w:rPr>
          <w:rFonts w:ascii="Arial" w:cs="Arial" w:eastAsia="Arial" w:hAnsi="Arial"/>
          <w:sz w:val="18"/>
          <w:szCs w:val="18"/>
          <w:i w:val="1"/>
          <w:iCs w:val="1"/>
          <w:color w:val="auto"/>
        </w:rPr>
        <w:t>This press release contains forward-looking statements. These forward-looking statements represent our expectations or beliefs concerning future events, and it is possible that the results described in this press release will not be achieved. These forward-looking statements are subject to risks, uncertainties and other factors, many of which are outside of our control, that could cause actual results to differ materially from the results discussed in the forward-looking statements, including, among other things:</w:t>
      </w:r>
    </w:p>
    <w:p>
      <w:pPr>
        <w:spacing w:after="0" w:line="96" w:lineRule="exact"/>
        <w:rPr>
          <w:sz w:val="20"/>
          <w:szCs w:val="20"/>
          <w:color w:val="auto"/>
        </w:rPr>
      </w:pPr>
    </w:p>
    <w:p>
      <w:pPr>
        <w:ind w:left="660" w:right="20" w:hanging="328"/>
        <w:spacing w:after="0" w:line="298" w:lineRule="auto"/>
        <w:tabs>
          <w:tab w:leader="none" w:pos="655" w:val="left"/>
        </w:tabs>
        <w:numPr>
          <w:ilvl w:val="0"/>
          <w:numId w:val="124"/>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macroeconomic uncertainty, including high levels of inflation, elevated interest rates and insurance costs, stock market volatility, enhanced and/or altered government regulation resulting from legislation and/or executive orders, and historic changes in U.S. trade policy, negatively impacting consumer sentiment and softening demand for the homes we sell;</w:t>
      </w:r>
    </w:p>
    <w:p>
      <w:pPr>
        <w:spacing w:after="0" w:line="91" w:lineRule="exact"/>
        <w:rPr>
          <w:rFonts w:ascii="Times New Roman" w:cs="Times New Roman" w:eastAsia="Times New Roman" w:hAnsi="Times New Roman"/>
          <w:sz w:val="18"/>
          <w:szCs w:val="18"/>
          <w:i w:val="1"/>
          <w:iCs w:val="1"/>
          <w:color w:val="auto"/>
        </w:rPr>
      </w:pPr>
    </w:p>
    <w:p>
      <w:pPr>
        <w:ind w:left="660" w:right="680" w:hanging="328"/>
        <w:spacing w:after="0" w:line="315" w:lineRule="auto"/>
        <w:tabs>
          <w:tab w:leader="none" w:pos="655" w:val="left"/>
        </w:tabs>
        <w:numPr>
          <w:ilvl w:val="0"/>
          <w:numId w:val="124"/>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elevated mortgage interest rates for prolonged periods, as well as further increases to, and reduced availability of, mortgage financing;</w:t>
      </w:r>
    </w:p>
    <w:p>
      <w:pPr>
        <w:spacing w:after="0" w:line="90" w:lineRule="exact"/>
        <w:rPr>
          <w:rFonts w:ascii="Times New Roman" w:cs="Times New Roman" w:eastAsia="Times New Roman" w:hAnsi="Times New Roman"/>
          <w:sz w:val="18"/>
          <w:szCs w:val="18"/>
          <w:i w:val="1"/>
          <w:iCs w:val="1"/>
          <w:color w:val="auto"/>
        </w:rPr>
      </w:pPr>
    </w:p>
    <w:p>
      <w:pPr>
        <w:ind w:left="660" w:right="60" w:hanging="328"/>
        <w:spacing w:after="0" w:line="290" w:lineRule="auto"/>
        <w:tabs>
          <w:tab w:leader="none" w:pos="655" w:val="left"/>
        </w:tabs>
        <w:numPr>
          <w:ilvl w:val="0"/>
          <w:numId w:val="124"/>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supply chain challenges (including as a result of U.S. trade policies and retaliatory responses from other countries) negatively impacting our homebuilding production, including shortages of raw materials and other critical components such as windows, doors, and appliances;</w:t>
      </w:r>
    </w:p>
    <w:p>
      <w:pPr>
        <w:spacing w:after="0" w:line="112" w:lineRule="exact"/>
        <w:rPr>
          <w:rFonts w:ascii="Times New Roman" w:cs="Times New Roman" w:eastAsia="Times New Roman" w:hAnsi="Times New Roman"/>
          <w:sz w:val="18"/>
          <w:szCs w:val="18"/>
          <w:i w:val="1"/>
          <w:iCs w:val="1"/>
          <w:color w:val="auto"/>
        </w:rPr>
      </w:pPr>
    </w:p>
    <w:p>
      <w:pPr>
        <w:ind w:left="660" w:right="480" w:hanging="328"/>
        <w:spacing w:after="0" w:line="315" w:lineRule="auto"/>
        <w:tabs>
          <w:tab w:leader="none" w:pos="655" w:val="left"/>
        </w:tabs>
        <w:numPr>
          <w:ilvl w:val="0"/>
          <w:numId w:val="124"/>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our ability to meet or achieve our sustainability related goals, aspirations, initiatives, and our public statements and disclosures regarding them;</w:t>
      </w:r>
    </w:p>
    <w:p>
      <w:pPr>
        <w:spacing w:after="0" w:line="76" w:lineRule="exact"/>
        <w:rPr>
          <w:rFonts w:ascii="Times New Roman" w:cs="Times New Roman" w:eastAsia="Times New Roman" w:hAnsi="Times New Roman"/>
          <w:sz w:val="18"/>
          <w:szCs w:val="18"/>
          <w:i w:val="1"/>
          <w:iCs w:val="1"/>
          <w:color w:val="auto"/>
        </w:rPr>
      </w:pPr>
    </w:p>
    <w:p>
      <w:pPr>
        <w:ind w:left="660" w:right="260" w:hanging="328"/>
        <w:spacing w:after="0" w:line="315" w:lineRule="auto"/>
        <w:tabs>
          <w:tab w:leader="none" w:pos="655" w:val="left"/>
        </w:tabs>
        <w:numPr>
          <w:ilvl w:val="0"/>
          <w:numId w:val="124"/>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inaccurate estimates related to homes to be delivered in the future (backlog), as they are subject to various cancellation risks that cannot be fully controlled;</w:t>
      </w:r>
    </w:p>
    <w:p>
      <w:pPr>
        <w:spacing w:after="0" w:line="90" w:lineRule="exact"/>
        <w:rPr>
          <w:rFonts w:ascii="Times New Roman" w:cs="Times New Roman" w:eastAsia="Times New Roman" w:hAnsi="Times New Roman"/>
          <w:sz w:val="18"/>
          <w:szCs w:val="18"/>
          <w:i w:val="1"/>
          <w:iCs w:val="1"/>
          <w:color w:val="auto"/>
        </w:rPr>
      </w:pPr>
    </w:p>
    <w:p>
      <w:pPr>
        <w:ind w:left="660" w:hanging="328"/>
        <w:spacing w:after="0" w:line="315" w:lineRule="auto"/>
        <w:tabs>
          <w:tab w:leader="none" w:pos="655" w:val="left"/>
        </w:tabs>
        <w:numPr>
          <w:ilvl w:val="0"/>
          <w:numId w:val="124"/>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factors affecting margins, such as adjustments to home pricing, increased sales incentives and mortgage rate buy down programs in order to remain competitive;</w:t>
      </w:r>
    </w:p>
    <w:p>
      <w:pPr>
        <w:spacing w:after="0" w:line="7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decreased revenues;</w:t>
      </w:r>
    </w:p>
    <w:p>
      <w:pPr>
        <w:spacing w:after="0" w:line="18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decreased land values underlying land option agreements;</w:t>
      </w:r>
    </w:p>
    <w:p>
      <w:pPr>
        <w:spacing w:after="0" w:line="170" w:lineRule="exact"/>
        <w:rPr>
          <w:rFonts w:ascii="Times New Roman" w:cs="Times New Roman" w:eastAsia="Times New Roman" w:hAnsi="Times New Roman"/>
          <w:sz w:val="18"/>
          <w:szCs w:val="18"/>
          <w:i w:val="1"/>
          <w:iCs w:val="1"/>
          <w:color w:val="auto"/>
        </w:rPr>
      </w:pPr>
    </w:p>
    <w:p>
      <w:pPr>
        <w:ind w:left="660" w:right="240" w:hanging="328"/>
        <w:spacing w:after="0" w:line="315" w:lineRule="auto"/>
        <w:tabs>
          <w:tab w:leader="none" w:pos="655" w:val="left"/>
        </w:tabs>
        <w:numPr>
          <w:ilvl w:val="0"/>
          <w:numId w:val="124"/>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increased land development costs in communities under development or delays or difficulties in implementing initiatives to reduce our cycle times and production and overhead cost structures;</w:t>
      </w:r>
    </w:p>
    <w:p>
      <w:pPr>
        <w:spacing w:after="0" w:line="76" w:lineRule="exact"/>
        <w:rPr>
          <w:rFonts w:ascii="Times New Roman" w:cs="Times New Roman" w:eastAsia="Times New Roman" w:hAnsi="Times New Roman"/>
          <w:sz w:val="18"/>
          <w:szCs w:val="18"/>
          <w:i w:val="1"/>
          <w:iCs w:val="1"/>
          <w:color w:val="auto"/>
        </w:rPr>
      </w:pPr>
    </w:p>
    <w:p>
      <w:pPr>
        <w:ind w:left="660" w:right="360" w:hanging="328"/>
        <w:spacing w:after="0" w:line="315" w:lineRule="auto"/>
        <w:tabs>
          <w:tab w:leader="none" w:pos="655" w:val="left"/>
        </w:tabs>
        <w:numPr>
          <w:ilvl w:val="0"/>
          <w:numId w:val="124"/>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not being able to pass on cost increases (including cost increases due to increasing the energy efficiency of our homes) through pricing increases;</w:t>
      </w:r>
    </w:p>
    <w:p>
      <w:pPr>
        <w:spacing w:after="0" w:line="90" w:lineRule="exact"/>
        <w:rPr>
          <w:rFonts w:ascii="Times New Roman" w:cs="Times New Roman" w:eastAsia="Times New Roman" w:hAnsi="Times New Roman"/>
          <w:sz w:val="18"/>
          <w:szCs w:val="18"/>
          <w:i w:val="1"/>
          <w:iCs w:val="1"/>
          <w:color w:val="auto"/>
        </w:rPr>
      </w:pPr>
    </w:p>
    <w:p>
      <w:pPr>
        <w:ind w:left="660" w:right="980" w:hanging="328"/>
        <w:spacing w:after="0" w:line="315" w:lineRule="auto"/>
        <w:tabs>
          <w:tab w:leader="none" w:pos="655" w:val="left"/>
        </w:tabs>
        <w:numPr>
          <w:ilvl w:val="0"/>
          <w:numId w:val="124"/>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the availability and cost of land and the risks associated with the future value of our inventory, including impairments and abandonment charges;</w:t>
      </w:r>
    </w:p>
    <w:p>
      <w:pPr>
        <w:spacing w:after="0" w:line="76" w:lineRule="exact"/>
        <w:rPr>
          <w:rFonts w:ascii="Times New Roman" w:cs="Times New Roman" w:eastAsia="Times New Roman" w:hAnsi="Times New Roman"/>
          <w:sz w:val="18"/>
          <w:szCs w:val="18"/>
          <w:i w:val="1"/>
          <w:iCs w:val="1"/>
          <w:color w:val="auto"/>
        </w:rPr>
      </w:pPr>
    </w:p>
    <w:p>
      <w:pPr>
        <w:ind w:left="660" w:right="260" w:hanging="328"/>
        <w:spacing w:after="0" w:line="290" w:lineRule="auto"/>
        <w:tabs>
          <w:tab w:leader="none" w:pos="655" w:val="left"/>
        </w:tabs>
        <w:numPr>
          <w:ilvl w:val="0"/>
          <w:numId w:val="124"/>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our ability to raise debt and/or equity capital, due to factors such as limitations in the capital markets (including market volatility), adverse credit market conditions and financial institution disruptions, and our ability to otherwise meet our ongoing liquidity needs (which could cause us to fail to meet the terms of our covenants and other requirements under our various debt instruments and therefore trigger an acceleration of a significant portion or all of our outstanding debt obligations), including the impact of any downgrades of our credit ratings or reduction in our liquidity levels;</w:t>
      </w:r>
    </w:p>
    <w:p>
      <w:pPr>
        <w:spacing w:after="0" w:line="98"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market perceptions regarding any capital raising initiatives we may undertake (including future issuances of equity or debt capital);</w:t>
      </w:r>
    </w:p>
    <w:p>
      <w:pPr>
        <w:spacing w:after="0" w:line="18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inefficient or ineffective allocation of capital, including with respect to planned share repurchases;</w:t>
      </w:r>
    </w:p>
    <w:p>
      <w:pPr>
        <w:sectPr>
          <w:pgSz w:w="11900" w:h="16838" w:orient="portrait"/>
          <w:cols w:equalWidth="0" w:num="1">
            <w:col w:w="11180"/>
          </w:cols>
          <w:pgMar w:left="320" w:top="1432" w:right="399" w:bottom="1440" w:gutter="0" w:footer="0" w:header="0"/>
        </w:sectPr>
      </w:pPr>
    </w:p>
    <w:bookmarkStart w:id="134" w:name="page135"/>
    <w:bookmarkEnd w:id="134"/>
    <w:p>
      <w:pPr>
        <w:ind w:left="660" w:right="960" w:hanging="328"/>
        <w:spacing w:after="0" w:line="315" w:lineRule="auto"/>
        <w:tabs>
          <w:tab w:leader="none" w:pos="655" w:val="left"/>
        </w:tabs>
        <w:numPr>
          <w:ilvl w:val="0"/>
          <w:numId w:val="125"/>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market conditions and other factors outside our control that adversely impact our ability to execute on our planned share repurchases;</w:t>
      </w:r>
    </w:p>
    <w:p>
      <w:pPr>
        <w:spacing w:after="0" w:line="76" w:lineRule="exact"/>
        <w:rPr>
          <w:rFonts w:ascii="Times New Roman" w:cs="Times New Roman" w:eastAsia="Times New Roman" w:hAnsi="Times New Roman"/>
          <w:sz w:val="18"/>
          <w:szCs w:val="18"/>
          <w:i w:val="1"/>
          <w:iCs w:val="1"/>
          <w:color w:val="auto"/>
        </w:rPr>
      </w:pPr>
    </w:p>
    <w:p>
      <w:pPr>
        <w:ind w:left="660" w:right="160" w:hanging="328"/>
        <w:spacing w:after="0" w:line="323" w:lineRule="auto"/>
        <w:tabs>
          <w:tab w:leader="none" w:pos="655" w:val="left"/>
        </w:tabs>
        <w:numPr>
          <w:ilvl w:val="0"/>
          <w:numId w:val="125"/>
        </w:numPr>
        <w:rPr>
          <w:rFonts w:ascii="Times New Roman" w:cs="Times New Roman" w:eastAsia="Times New Roman" w:hAnsi="Times New Roman"/>
          <w:sz w:val="17"/>
          <w:szCs w:val="17"/>
          <w:i w:val="1"/>
          <w:iCs w:val="1"/>
          <w:color w:val="auto"/>
        </w:rPr>
      </w:pPr>
      <w:r>
        <w:rPr>
          <w:rFonts w:ascii="Arial" w:cs="Arial" w:eastAsia="Arial" w:hAnsi="Arial"/>
          <w:sz w:val="17"/>
          <w:szCs w:val="17"/>
          <w:i w:val="1"/>
          <w:iCs w:val="1"/>
          <w:color w:val="auto"/>
        </w:rPr>
        <w:t>changes in tax laws, such as the One Big Beautiful Bill Act (OBBBA), or otherwise regarding the deductibility of mortgage interest expenses and real estate taxes, including those resulting from regulatory guidance and interpretations issued with respect thereto, such as the IRS's guidance regarding heightened qualification requirements for federal credits for building energy-efficient homes;</w:t>
      </w:r>
    </w:p>
    <w:p>
      <w:pPr>
        <w:spacing w:after="0" w:line="87" w:lineRule="exact"/>
        <w:rPr>
          <w:rFonts w:ascii="Times New Roman" w:cs="Times New Roman" w:eastAsia="Times New Roman" w:hAnsi="Times New Roman"/>
          <w:sz w:val="17"/>
          <w:szCs w:val="17"/>
          <w:i w:val="1"/>
          <w:iCs w:val="1"/>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increased competition or delays in reacting to changing consumer preferences in home design;</w:t>
      </w:r>
    </w:p>
    <w:p>
      <w:pPr>
        <w:spacing w:after="0" w:line="170" w:lineRule="exact"/>
        <w:rPr>
          <w:rFonts w:ascii="Times New Roman" w:cs="Times New Roman" w:eastAsia="Times New Roman" w:hAnsi="Times New Roman"/>
          <w:sz w:val="18"/>
          <w:szCs w:val="18"/>
          <w:i w:val="1"/>
          <w:iCs w:val="1"/>
          <w:color w:val="auto"/>
        </w:rPr>
      </w:pPr>
    </w:p>
    <w:p>
      <w:pPr>
        <w:ind w:left="660" w:right="440" w:hanging="328"/>
        <w:spacing w:after="0" w:line="315" w:lineRule="auto"/>
        <w:tabs>
          <w:tab w:leader="none" w:pos="655" w:val="left"/>
        </w:tabs>
        <w:numPr>
          <w:ilvl w:val="0"/>
          <w:numId w:val="125"/>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natural disasters, severe weather, or other related events that could result in delays in land development or home construction, increase our costs or decrease demand in the impacted areas;</w:t>
      </w:r>
    </w:p>
    <w:p>
      <w:pPr>
        <w:spacing w:after="0" w:line="90" w:lineRule="exact"/>
        <w:rPr>
          <w:rFonts w:ascii="Times New Roman" w:cs="Times New Roman" w:eastAsia="Times New Roman" w:hAnsi="Times New Roman"/>
          <w:sz w:val="18"/>
          <w:szCs w:val="18"/>
          <w:i w:val="1"/>
          <w:iCs w:val="1"/>
          <w:color w:val="auto"/>
        </w:rPr>
      </w:pPr>
    </w:p>
    <w:p>
      <w:pPr>
        <w:ind w:left="660" w:right="500" w:hanging="328"/>
        <w:spacing w:after="0" w:line="299" w:lineRule="auto"/>
        <w:tabs>
          <w:tab w:leader="none" w:pos="655" w:val="left"/>
        </w:tabs>
        <w:numPr>
          <w:ilvl w:val="0"/>
          <w:numId w:val="125"/>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shortages of or increased costs for labor used in housing production, including as a result of federal or state legislation, and/or enforcement, and the level of quality and craftsmanship provided by such labor;</w:t>
      </w:r>
    </w:p>
    <w:p>
      <w:pPr>
        <w:spacing w:after="0" w:line="104" w:lineRule="exact"/>
        <w:rPr>
          <w:rFonts w:ascii="Times New Roman" w:cs="Times New Roman" w:eastAsia="Times New Roman" w:hAnsi="Times New Roman"/>
          <w:sz w:val="18"/>
          <w:szCs w:val="18"/>
          <w:i w:val="1"/>
          <w:iCs w:val="1"/>
          <w:color w:val="auto"/>
        </w:rPr>
      </w:pPr>
    </w:p>
    <w:p>
      <w:pPr>
        <w:ind w:left="660" w:hanging="328"/>
        <w:spacing w:after="0" w:line="298" w:lineRule="auto"/>
        <w:tabs>
          <w:tab w:leader="none" w:pos="655" w:val="left"/>
        </w:tabs>
        <w:numPr>
          <w:ilvl w:val="0"/>
          <w:numId w:val="125"/>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terrorist acts, protests and civil unrest, political uncertainty, acts of war or other factors over which the Company has no control, such as the conflict between Russia and Ukraine, the instability and tension in Gaza, and other instabilities and tensions in the Middle East;</w:t>
      </w:r>
    </w:p>
    <w:p>
      <w:pPr>
        <w:spacing w:after="0" w:line="9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the potential recoverability of our deferred tax assets;</w:t>
      </w:r>
    </w:p>
    <w:p>
      <w:pPr>
        <w:spacing w:after="0" w:line="183" w:lineRule="exact"/>
        <w:rPr>
          <w:rFonts w:ascii="Times New Roman" w:cs="Times New Roman" w:eastAsia="Times New Roman" w:hAnsi="Times New Roman"/>
          <w:sz w:val="18"/>
          <w:szCs w:val="18"/>
          <w:i w:val="1"/>
          <w:iCs w:val="1"/>
          <w:color w:val="auto"/>
        </w:rPr>
      </w:pPr>
    </w:p>
    <w:p>
      <w:pPr>
        <w:ind w:left="660" w:right="120" w:hanging="328"/>
        <w:spacing w:after="0" w:line="290" w:lineRule="auto"/>
        <w:tabs>
          <w:tab w:leader="none" w:pos="655" w:val="left"/>
        </w:tabs>
        <w:numPr>
          <w:ilvl w:val="0"/>
          <w:numId w:val="125"/>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potential delays or increased costs in obtaining necessary permits as a result of changes to, or complying with, laws, regulations or governmental policies, and possible penalties for failure to comply with such laws, regulations or governmental policies, including those related to the environment;</w:t>
      </w:r>
    </w:p>
    <w:p>
      <w:pPr>
        <w:spacing w:after="0" w:line="11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the results of litigation or government proceedings and fulfillment of any related obligations;</w:t>
      </w:r>
    </w:p>
    <w:p>
      <w:pPr>
        <w:spacing w:after="0" w:line="17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the impact of construction defect and home warranty claims;</w:t>
      </w:r>
    </w:p>
    <w:p>
      <w:pPr>
        <w:spacing w:after="0" w:line="183" w:lineRule="exact"/>
        <w:rPr>
          <w:rFonts w:ascii="Times New Roman" w:cs="Times New Roman" w:eastAsia="Times New Roman" w:hAnsi="Times New Roman"/>
          <w:sz w:val="18"/>
          <w:szCs w:val="18"/>
          <w:i w:val="1"/>
          <w:iCs w:val="1"/>
          <w:color w:val="auto"/>
        </w:rPr>
      </w:pPr>
    </w:p>
    <w:p>
      <w:pPr>
        <w:ind w:left="660" w:right="460" w:hanging="328"/>
        <w:spacing w:after="0" w:line="315" w:lineRule="auto"/>
        <w:tabs>
          <w:tab w:leader="none" w:pos="655" w:val="left"/>
        </w:tabs>
        <w:numPr>
          <w:ilvl w:val="0"/>
          <w:numId w:val="125"/>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the cost and availability of insurance and surety bonds, as well as the sufficiency of these instruments to cover potential losses incurred;</w:t>
      </w:r>
    </w:p>
    <w:p>
      <w:pPr>
        <w:spacing w:after="0" w:line="76" w:lineRule="exact"/>
        <w:rPr>
          <w:rFonts w:ascii="Times New Roman" w:cs="Times New Roman" w:eastAsia="Times New Roman" w:hAnsi="Times New Roman"/>
          <w:sz w:val="18"/>
          <w:szCs w:val="18"/>
          <w:i w:val="1"/>
          <w:iCs w:val="1"/>
          <w:color w:val="auto"/>
        </w:rPr>
      </w:pPr>
    </w:p>
    <w:p>
      <w:pPr>
        <w:ind w:left="660" w:right="60" w:hanging="328"/>
        <w:spacing w:after="0" w:line="298" w:lineRule="auto"/>
        <w:tabs>
          <w:tab w:leader="none" w:pos="655" w:val="left"/>
        </w:tabs>
        <w:numPr>
          <w:ilvl w:val="0"/>
          <w:numId w:val="125"/>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the impact of information technology failures, cybersecurity issues or data security breaches, including cybersecurity incidents deploying evolving artificial intelligence tools and incidents impacting third-party service providers that we depend on to conduct our business;</w:t>
      </w:r>
    </w:p>
    <w:p>
      <w:pPr>
        <w:spacing w:after="0" w:line="105" w:lineRule="exact"/>
        <w:rPr>
          <w:rFonts w:ascii="Times New Roman" w:cs="Times New Roman" w:eastAsia="Times New Roman" w:hAnsi="Times New Roman"/>
          <w:sz w:val="18"/>
          <w:szCs w:val="18"/>
          <w:i w:val="1"/>
          <w:iCs w:val="1"/>
          <w:color w:val="auto"/>
        </w:rPr>
      </w:pPr>
    </w:p>
    <w:p>
      <w:pPr>
        <w:ind w:left="660" w:right="340" w:hanging="328"/>
        <w:spacing w:after="0" w:line="299" w:lineRule="auto"/>
        <w:tabs>
          <w:tab w:leader="none" w:pos="655" w:val="left"/>
        </w:tabs>
        <w:numPr>
          <w:ilvl w:val="0"/>
          <w:numId w:val="125"/>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the impact of governmental regulations on homebuilding in key markets, such as regulations limiting the availability of water and electricity (including availability of electrical equipment such as transformers and meters); and</w:t>
      </w:r>
    </w:p>
    <w:p>
      <w:pPr>
        <w:spacing w:after="0" w:line="104" w:lineRule="exact"/>
        <w:rPr>
          <w:rFonts w:ascii="Times New Roman" w:cs="Times New Roman" w:eastAsia="Times New Roman" w:hAnsi="Times New Roman"/>
          <w:sz w:val="18"/>
          <w:szCs w:val="18"/>
          <w:i w:val="1"/>
          <w:iCs w:val="1"/>
          <w:color w:val="auto"/>
        </w:rPr>
      </w:pPr>
    </w:p>
    <w:p>
      <w:pPr>
        <w:ind w:left="660" w:right="120" w:hanging="328"/>
        <w:spacing w:after="0" w:line="315" w:lineRule="auto"/>
        <w:tabs>
          <w:tab w:leader="none" w:pos="655" w:val="left"/>
        </w:tabs>
        <w:numPr>
          <w:ilvl w:val="0"/>
          <w:numId w:val="125"/>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the success of our sustainability initiatives, as well as the success of any other related partnerships or pilot programs we may enter into in order to increase the energy efficiency of our homes.</w:t>
      </w:r>
    </w:p>
    <w:p>
      <w:pPr>
        <w:spacing w:after="0" w:line="77" w:lineRule="exact"/>
        <w:rPr>
          <w:sz w:val="20"/>
          <w:szCs w:val="20"/>
          <w:color w:val="auto"/>
        </w:rPr>
      </w:pPr>
    </w:p>
    <w:p>
      <w:pPr>
        <w:spacing w:after="0" w:line="293" w:lineRule="auto"/>
        <w:rPr>
          <w:sz w:val="20"/>
          <w:szCs w:val="20"/>
          <w:color w:val="auto"/>
        </w:rPr>
      </w:pPr>
      <w:r>
        <w:rPr>
          <w:rFonts w:ascii="Arial" w:cs="Arial" w:eastAsia="Arial" w:hAnsi="Arial"/>
          <w:sz w:val="18"/>
          <w:szCs w:val="18"/>
          <w:i w:val="1"/>
          <w:iCs w:val="1"/>
          <w:color w:val="auto"/>
        </w:rPr>
        <w:t>Any forward-looking statement, including any statement expressing confidence regarding future outcomes, speaks only as of the date on which such statement is made and, except as required by law, we undertake no obligation to update any forward-looking statement to reflect events or circumstances after the date on which such statement is made or to reflect the occurrence of unanticipated events. New factors emerge from time to time, and it is not possible to predict all such factors.</w:t>
      </w:r>
    </w:p>
    <w:p>
      <w:pPr>
        <w:sectPr>
          <w:pgSz w:w="11900" w:h="16838" w:orient="portrait"/>
          <w:cols w:equalWidth="0" w:num="1">
            <w:col w:w="11160"/>
          </w:cols>
          <w:pgMar w:left="320" w:top="1432" w:right="419" w:bottom="1440" w:gutter="0" w:footer="0" w:header="0"/>
        </w:sectPr>
      </w:pPr>
    </w:p>
    <w:bookmarkStart w:id="135" w:name="page136"/>
    <w:bookmarkEnd w:id="135"/>
    <w:p>
      <w:pPr>
        <w:spacing w:after="0"/>
        <w:rPr>
          <w:sz w:val="20"/>
          <w:szCs w:val="20"/>
          <w:color w:val="auto"/>
        </w:rPr>
      </w:pPr>
      <w:r>
        <w:rPr>
          <w:rFonts w:ascii="Arial" w:cs="Arial" w:eastAsia="Arial" w:hAnsi="Arial"/>
          <w:sz w:val="21"/>
          <w:szCs w:val="21"/>
          <w:color w:val="auto"/>
        </w:rPr>
        <w:t>CONTACT: Beazer Homes USA, Inc.</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Mark Chekanow, CFA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917.365.0085</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investor.relations@beazer.com</w:t>
      </w:r>
    </w:p>
    <w:sectPr>
      <w:pgSz w:w="11900" w:h="16838" w:orient="portrait"/>
      <w:cols w:equalWidth="0" w:num="1">
        <w:col w:w="10139"/>
      </w:cols>
      <w:pgMar w:left="320" w:top="14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1"/>
      <w:numFmt w:val="lowerLetter"/>
      <w:start w:val="1"/>
    </w:lvl>
    <w:lvl w:ilvl="1">
      <w:lvlJc w:val="left"/>
      <w:lvlText w:val="(%2)"/>
      <w:numFmt w:val="lowerLetter"/>
      <w:start w:val="1"/>
    </w:lvl>
  </w:abstractNum>
  <w:abstractNum w:abstractNumId="2">
    <w:nsid w:val="310C50B3"/>
    <w:multiLevelType w:val="hybridMultilevel"/>
    <w:lvl w:ilvl="0">
      <w:lvlJc w:val="left"/>
      <w:lvlText w:val="(%1)"/>
      <w:numFmt w:val="lowerLetter"/>
      <w:start w:val="9"/>
    </w:lvl>
    <w:lvl w:ilvl="1">
      <w:lvlJc w:val="left"/>
      <w:lvlText w:val="%2"/>
      <w:numFmt w:val="lowerLetter"/>
      <w:start w:val="1"/>
    </w:lvl>
  </w:abstractNum>
  <w:abstractNum w:abstractNumId="3">
    <w:nsid w:val="5FF87E05"/>
    <w:multiLevelType w:val="hybridMultilevel"/>
    <w:lvl w:ilvl="0">
      <w:lvlJc w:val="left"/>
      <w:lvlText w:val="(%1)"/>
      <w:numFmt w:val="lowerLetter"/>
      <w:start w:val="1"/>
    </w:lvl>
  </w:abstractNum>
  <w:abstractNum w:abstractNumId="4">
    <w:nsid w:val="2F305DEF"/>
    <w:multiLevelType w:val="hybridMultilevel"/>
    <w:lvl w:ilvl="0">
      <w:lvlJc w:val="left"/>
      <w:lvlText w:val="(%1)"/>
      <w:numFmt w:val="lowerLetter"/>
      <w:start w:val="4"/>
    </w:lvl>
  </w:abstractNum>
  <w:abstractNum w:abstractNumId="5">
    <w:nsid w:val="25A70BF7"/>
    <w:multiLevelType w:val="hybridMultilevel"/>
    <w:lvl w:ilvl="0">
      <w:lvlJc w:val="left"/>
      <w:lvlText w:val="(%1)"/>
      <w:numFmt w:val="lowerLetter"/>
      <w:start w:val="10"/>
    </w:lvl>
  </w:abstractNum>
  <w:abstractNum w:abstractNumId="6">
    <w:nsid w:val="1DBABF00"/>
    <w:multiLevelType w:val="hybridMultilevel"/>
    <w:lvl w:ilvl="0">
      <w:lvlJc w:val="left"/>
      <w:lvlText w:val="(%1)"/>
      <w:numFmt w:val="lowerLetter"/>
      <w:start w:val="1"/>
    </w:lvl>
  </w:abstractNum>
  <w:abstractNum w:abstractNumId="7">
    <w:nsid w:val="4AD084E9"/>
    <w:multiLevelType w:val="hybridMultilevel"/>
    <w:lvl w:ilvl="0">
      <w:lvlJc w:val="left"/>
      <w:lvlText w:val="(%1)"/>
      <w:numFmt w:val="lowerLetter"/>
      <w:start w:val="4"/>
    </w:lvl>
  </w:abstractNum>
  <w:abstractNum w:abstractNumId="8">
    <w:nsid w:val="1F48EAA1"/>
    <w:multiLevelType w:val="hybridMultilevel"/>
    <w:lvl w:ilvl="0">
      <w:lvlJc w:val="left"/>
      <w:lvlText w:val="(%1)"/>
      <w:numFmt w:val="lowerLetter"/>
      <w:start w:val="1"/>
    </w:lvl>
  </w:abstractNum>
  <w:abstractNum w:abstractNumId="9">
    <w:nsid w:val="1381823A"/>
    <w:multiLevelType w:val="hybridMultilevel"/>
    <w:lvl w:ilvl="0">
      <w:lvlJc w:val="left"/>
      <w:lvlText w:val="(%1)"/>
      <w:numFmt w:val="lowerLetter"/>
      <w:start w:val="4"/>
    </w:lvl>
  </w:abstractNum>
  <w:abstractNum w:abstractNumId="10">
    <w:nsid w:val="5DB70AE5"/>
    <w:multiLevelType w:val="hybridMultilevel"/>
    <w:lvl w:ilvl="0">
      <w:lvlJc w:val="left"/>
      <w:lvlText w:val="1"/>
      <w:numFmt w:val="bullet"/>
      <w:start w:val="1"/>
    </w:lvl>
  </w:abstractNum>
  <w:abstractNum w:abstractNumId="11">
    <w:nsid w:val="100F8FCA"/>
    <w:multiLevelType w:val="hybridMultilevel"/>
    <w:lvl w:ilvl="0">
      <w:lvlJc w:val="left"/>
      <w:lvlText w:val="(%1)"/>
      <w:numFmt w:val="decimal"/>
      <w:start w:val="1"/>
    </w:lvl>
  </w:abstractNum>
  <w:abstractNum w:abstractNumId="12">
    <w:nsid w:val="6590700B"/>
    <w:multiLevelType w:val="hybridMultilevel"/>
    <w:lvl w:ilvl="0">
      <w:lvlJc w:val="left"/>
      <w:lvlText w:val="(%1)"/>
      <w:numFmt w:val="decimal"/>
      <w:start w:val="1"/>
    </w:lvl>
  </w:abstractNum>
  <w:abstractNum w:abstractNumId="13">
    <w:nsid w:val="15014ACB"/>
    <w:multiLevelType w:val="hybridMultilevel"/>
    <w:lvl w:ilvl="0">
      <w:lvlJc w:val="left"/>
      <w:lvlText w:val="(%1)"/>
      <w:numFmt w:val="decimal"/>
      <w:start w:val="1"/>
    </w:lvl>
  </w:abstractNum>
  <w:abstractNum w:abstractNumId="14">
    <w:nsid w:val="5F5E7FD0"/>
    <w:multiLevelType w:val="hybridMultilevel"/>
    <w:lvl w:ilvl="0">
      <w:lvlJc w:val="left"/>
      <w:lvlText w:val="(%1)"/>
      <w:numFmt w:val="decimal"/>
      <w:start w:val="1"/>
    </w:lvl>
  </w:abstractNum>
  <w:abstractNum w:abstractNumId="15">
    <w:nsid w:val="98A3148"/>
    <w:multiLevelType w:val="hybridMultilevel"/>
    <w:lvl w:ilvl="0">
      <w:lvlJc w:val="left"/>
      <w:lvlText w:val="(%1)"/>
      <w:numFmt w:val="decimal"/>
      <w:start w:val="3"/>
    </w:lvl>
  </w:abstractNum>
  <w:abstractNum w:abstractNumId="16">
    <w:nsid w:val="799D0247"/>
    <w:multiLevelType w:val="hybridMultilevel"/>
    <w:lvl w:ilvl="0">
      <w:lvlJc w:val="left"/>
      <w:lvlText w:val="(%1)"/>
      <w:numFmt w:val="lowerLetter"/>
      <w:start w:val="1"/>
    </w:lvl>
  </w:abstractNum>
  <w:abstractNum w:abstractNumId="17">
    <w:nsid w:val="6B94764"/>
    <w:multiLevelType w:val="hybridMultilevel"/>
    <w:lvl w:ilvl="0">
      <w:lvlJc w:val="left"/>
      <w:lvlText w:val="(%1)"/>
      <w:numFmt w:val="lowerLetter"/>
      <w:start w:val="4"/>
    </w:lvl>
  </w:abstractNum>
  <w:abstractNum w:abstractNumId="18">
    <w:nsid w:val="42C296BD"/>
    <w:multiLevelType w:val="hybridMultilevel"/>
    <w:lvl w:ilvl="0">
      <w:lvlJc w:val="left"/>
      <w:lvlText w:val="(%1)"/>
      <w:numFmt w:val="lowerRoman"/>
      <w:start w:val="1"/>
    </w:lvl>
  </w:abstractNum>
  <w:abstractNum w:abstractNumId="19">
    <w:nsid w:val="168E121F"/>
    <w:multiLevelType w:val="hybridMultilevel"/>
    <w:lvl w:ilvl="0">
      <w:lvlJc w:val="left"/>
      <w:lvlText w:val="(%1)"/>
      <w:numFmt w:val="lowerRoman"/>
      <w:start w:val="1"/>
    </w:lvl>
  </w:abstractNum>
  <w:abstractNum w:abstractNumId="20">
    <w:nsid w:val="1EBA5D23"/>
    <w:multiLevelType w:val="hybridMultilevel"/>
    <w:lvl w:ilvl="0">
      <w:lvlJc w:val="left"/>
      <w:lvlText w:val="(%1)"/>
      <w:numFmt w:val="lowerRoman"/>
      <w:start w:val="1"/>
    </w:lvl>
  </w:abstractNum>
  <w:abstractNum w:abstractNumId="21">
    <w:nsid w:val="661E3F1E"/>
    <w:multiLevelType w:val="hybridMultilevel"/>
    <w:lvl w:ilvl="0">
      <w:lvlJc w:val="left"/>
      <w:lvlText w:val="(%1)"/>
      <w:numFmt w:val="lowerLetter"/>
      <w:start w:val="1"/>
    </w:lvl>
  </w:abstractNum>
  <w:abstractNum w:abstractNumId="22">
    <w:nsid w:val="5DC79EA8"/>
    <w:multiLevelType w:val="hybridMultilevel"/>
    <w:lvl w:ilvl="0">
      <w:lvlJc w:val="left"/>
      <w:lvlText w:val="(%1)"/>
      <w:numFmt w:val="decimal"/>
      <w:start w:val="2"/>
    </w:lvl>
  </w:abstractNum>
  <w:abstractNum w:abstractNumId="23">
    <w:nsid w:val="540A471C"/>
    <w:multiLevelType w:val="hybridMultilevel"/>
    <w:lvl w:ilvl="0">
      <w:lvlJc w:val="left"/>
      <w:lvlText w:val="(%1)"/>
      <w:numFmt w:val="lowerLetter"/>
      <w:start w:val="2"/>
    </w:lvl>
  </w:abstractNum>
  <w:abstractNum w:abstractNumId="24">
    <w:nsid w:val="7BD3EE7B"/>
    <w:multiLevelType w:val="hybridMultilevel"/>
    <w:lvl w:ilvl="0">
      <w:lvlJc w:val="left"/>
      <w:lvlText w:val="(%1)"/>
      <w:numFmt w:val="lowerLetter"/>
      <w:start w:val="1"/>
    </w:lvl>
  </w:abstractNum>
  <w:abstractNum w:abstractNumId="25">
    <w:nsid w:val="51D9C564"/>
    <w:multiLevelType w:val="hybridMultilevel"/>
    <w:lvl w:ilvl="0">
      <w:lvlJc w:val="left"/>
      <w:lvlText w:val="(%1)"/>
      <w:numFmt w:val="lowerLetter"/>
      <w:start w:val="9"/>
    </w:lvl>
  </w:abstractNum>
  <w:abstractNum w:abstractNumId="26">
    <w:nsid w:val="613EFDC5"/>
    <w:multiLevelType w:val="hybridMultilevel"/>
    <w:lvl w:ilvl="0">
      <w:lvlJc w:val="left"/>
      <w:lvlText w:val="(%1)"/>
      <w:numFmt w:val="lowerLetter"/>
      <w:start w:val="1"/>
    </w:lvl>
  </w:abstractNum>
  <w:abstractNum w:abstractNumId="27">
    <w:nsid w:val="BF72B14"/>
    <w:multiLevelType w:val="hybridMultilevel"/>
    <w:lvl w:ilvl="0">
      <w:lvlJc w:val="left"/>
      <w:lvlText w:val="(%1)"/>
      <w:numFmt w:val="lowerRoman"/>
      <w:start w:val="1"/>
    </w:lvl>
  </w:abstractNum>
  <w:abstractNum w:abstractNumId="28">
    <w:nsid w:val="11447B73"/>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3"/>
    </w:lvl>
  </w:abstractNum>
  <w:abstractNum w:abstractNumId="29">
    <w:nsid w:val="42963E5A"/>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1"/>
    </w:lvl>
  </w:abstractNum>
  <w:abstractNum w:abstractNumId="30">
    <w:nsid w:val="A0382C5"/>
    <w:multiLevelType w:val="hybridMultilevel"/>
    <w:lvl w:ilvl="0">
      <w:lvlJc w:val="left"/>
      <w:lvlText w:val="%1"/>
      <w:numFmt w:val="lowerRoman"/>
      <w:start w:val="1"/>
    </w:lvl>
    <w:lvl w:ilvl="1">
      <w:lvlJc w:val="left"/>
      <w:lvlText w:val="(%2)"/>
      <w:numFmt w:val="lowerRoman"/>
      <w:start w:val="1"/>
    </w:lvl>
  </w:abstractNum>
  <w:abstractNum w:abstractNumId="31">
    <w:nsid w:val="8F2B15E"/>
    <w:multiLevelType w:val="hybridMultilevel"/>
    <w:lvl w:ilvl="0">
      <w:lvlJc w:val="left"/>
      <w:lvlText w:val="(%1)"/>
      <w:numFmt w:val="lowerRoman"/>
      <w:start w:val="2"/>
    </w:lvl>
    <w:lvl w:ilvl="1">
      <w:lvlJc w:val="left"/>
      <w:lvlText w:val="%2"/>
      <w:numFmt w:val="lowerRoman"/>
      <w:start w:val="1"/>
    </w:lvl>
  </w:abstractNum>
  <w:abstractNum w:abstractNumId="32">
    <w:nsid w:val="1A32234B"/>
    <w:multiLevelType w:val="hybridMultilevel"/>
    <w:lvl w:ilvl="0">
      <w:lvlJc w:val="left"/>
      <w:lvlText w:val="(%1)"/>
      <w:numFmt w:val="lowerRoman"/>
      <w:start w:val="3"/>
    </w:lvl>
  </w:abstractNum>
  <w:abstractNum w:abstractNumId="33">
    <w:nsid w:val="3B0FD379"/>
    <w:multiLevelType w:val="hybridMultilevel"/>
    <w:lvl w:ilvl="0">
      <w:lvlJc w:val="left"/>
      <w:lvlText w:val="(%1)"/>
      <w:numFmt w:val="lowerLetter"/>
      <w:start w:val="1"/>
    </w:lvl>
  </w:abstractNum>
  <w:abstractNum w:abstractNumId="34">
    <w:nsid w:val="68EB2F63"/>
    <w:multiLevelType w:val="hybridMultilevel"/>
    <w:lvl w:ilvl="0">
      <w:lvlJc w:val="left"/>
      <w:lvlText w:val="(%1)"/>
      <w:numFmt w:val="lowerLetter"/>
      <w:start w:val="5"/>
    </w:lvl>
  </w:abstractNum>
  <w:abstractNum w:abstractNumId="35">
    <w:nsid w:val="4962813B"/>
    <w:multiLevelType w:val="hybridMultilevel"/>
    <w:lvl w:ilvl="0">
      <w:lvlJc w:val="left"/>
      <w:lvlText w:val="(%1)"/>
      <w:numFmt w:val="lowerLetter"/>
      <w:start w:val="1"/>
    </w:lvl>
  </w:abstractNum>
  <w:abstractNum w:abstractNumId="36">
    <w:nsid w:val="60B6DF70"/>
    <w:multiLevelType w:val="hybridMultilevel"/>
    <w:lvl w:ilvl="0">
      <w:lvlJc w:val="left"/>
      <w:lvlText w:val="(%1)"/>
      <w:numFmt w:val="lowerLetter"/>
      <w:start w:val="1"/>
    </w:lvl>
  </w:abstractNum>
  <w:abstractNum w:abstractNumId="37">
    <w:nsid w:val="6A5EE64"/>
    <w:multiLevelType w:val="hybridMultilevel"/>
    <w:lvl w:ilvl="0">
      <w:lvlJc w:val="left"/>
      <w:lvlText w:val="(%1)"/>
      <w:numFmt w:val="lowerLetter"/>
      <w:start w:val="2"/>
    </w:lvl>
  </w:abstractNum>
  <w:abstractNum w:abstractNumId="38">
    <w:nsid w:val="14330624"/>
    <w:multiLevelType w:val="hybridMultilevel"/>
    <w:lvl w:ilvl="0">
      <w:lvlJc w:val="left"/>
      <w:lvlText w:val="(%1)"/>
      <w:numFmt w:val="lowerLetter"/>
      <w:start w:val="1"/>
    </w:lvl>
  </w:abstractNum>
  <w:abstractNum w:abstractNumId="39">
    <w:nsid w:val="7FFFCA11"/>
    <w:multiLevelType w:val="hybridMultilevel"/>
    <w:lvl w:ilvl="0">
      <w:lvlJc w:val="left"/>
      <w:lvlText w:val="%1"/>
      <w:numFmt w:val="lowerLetter"/>
      <w:start w:val="1"/>
    </w:lvl>
    <w:lvl w:ilvl="1">
      <w:lvlJc w:val="left"/>
      <w:lvlText w:val="(%2)"/>
      <w:numFmt w:val="lowerLetter"/>
      <w:start w:val="5"/>
    </w:lvl>
  </w:abstractNum>
  <w:abstractNum w:abstractNumId="40">
    <w:nsid w:val="1A27709E"/>
    <w:multiLevelType w:val="hybridMultilevel"/>
    <w:lvl w:ilvl="0">
      <w:lvlJc w:val="left"/>
      <w:lvlText w:val="(%1)"/>
      <w:numFmt w:val="lowerLetter"/>
      <w:start w:val="4"/>
    </w:lvl>
    <w:lvl w:ilvl="1">
      <w:lvlJc w:val="left"/>
      <w:lvlText w:val="%2"/>
      <w:numFmt w:val="lowerLetter"/>
      <w:start w:val="1"/>
    </w:lvl>
  </w:abstractNum>
  <w:abstractNum w:abstractNumId="41">
    <w:nsid w:val="71EA1109"/>
    <w:multiLevelType w:val="hybridMultilevel"/>
    <w:lvl w:ilvl="0">
      <w:lvlJc w:val="left"/>
      <w:lvlText w:val="(%1)"/>
      <w:numFmt w:val="lowerLetter"/>
      <w:start w:val="1"/>
    </w:lvl>
  </w:abstractNum>
  <w:abstractNum w:abstractNumId="42">
    <w:nsid w:val="100F59DC"/>
    <w:multiLevelType w:val="hybridMultilevel"/>
    <w:lvl w:ilvl="0">
      <w:lvlJc w:val="left"/>
      <w:lvlText w:val="(%1)"/>
      <w:numFmt w:val="lowerRoman"/>
      <w:start w:val="1"/>
    </w:lvl>
  </w:abstractNum>
  <w:abstractNum w:abstractNumId="43">
    <w:nsid w:val="7FB7E0AA"/>
    <w:multiLevelType w:val="hybridMultilevel"/>
    <w:lvl w:ilvl="0">
      <w:lvlJc w:val="left"/>
      <w:lvlText w:val="(%1)"/>
      <w:numFmt w:val="lowerLetter"/>
      <w:start w:val="9"/>
    </w:lvl>
    <w:lvl w:ilvl="1">
      <w:lvlJc w:val="left"/>
      <w:lvlText w:val="(%2)"/>
      <w:numFmt w:val="lowerLetter"/>
      <w:start w:val="2"/>
    </w:lvl>
  </w:abstractNum>
  <w:abstractNum w:abstractNumId="44">
    <w:nsid w:val="6EB5BD4"/>
    <w:multiLevelType w:val="hybridMultilevel"/>
    <w:lvl w:ilvl="0">
      <w:lvlJc w:val="left"/>
      <w:lvlText w:val="(%1)"/>
      <w:numFmt w:val="lowerLetter"/>
      <w:start w:val="3"/>
    </w:lvl>
  </w:abstractNum>
  <w:abstractNum w:abstractNumId="45">
    <w:nsid w:val="6F6DD9AC"/>
    <w:multiLevelType w:val="hybridMultilevel"/>
    <w:lvl w:ilvl="0">
      <w:lvlJc w:val="left"/>
      <w:lvlText w:val="(%1)"/>
      <w:numFmt w:val="lowerLetter"/>
      <w:start w:val="1"/>
    </w:lvl>
  </w:abstractNum>
  <w:abstractNum w:abstractNumId="46">
    <w:nsid w:val="94211F2"/>
    <w:multiLevelType w:val="hybridMultilevel"/>
    <w:lvl w:ilvl="0">
      <w:lvlJc w:val="left"/>
      <w:lvlText w:val="(%1)"/>
      <w:numFmt w:val="lowerLetter"/>
      <w:start w:val="5"/>
    </w:lvl>
  </w:abstractNum>
  <w:abstractNum w:abstractNumId="47">
    <w:nsid w:val="885E1B"/>
    <w:multiLevelType w:val="hybridMultilevel"/>
    <w:lvl w:ilvl="0">
      <w:lvlJc w:val="left"/>
      <w:lvlText w:val="(%1)"/>
      <w:numFmt w:val="lowerLetter"/>
      <w:start w:val="1"/>
    </w:lvl>
    <w:lvl w:ilvl="1">
      <w:lvlJc w:val="left"/>
      <w:lvlText w:val="(%2)"/>
      <w:numFmt w:val="upperLetter"/>
      <w:start w:val="1"/>
    </w:lvl>
  </w:abstractNum>
  <w:abstractNum w:abstractNumId="48">
    <w:nsid w:val="76272110"/>
    <w:multiLevelType w:val="hybridMultilevel"/>
    <w:lvl w:ilvl="0">
      <w:lvlJc w:val="left"/>
      <w:lvlText w:val="%1"/>
      <w:numFmt w:val="lowerLetter"/>
      <w:start w:val="1"/>
    </w:lvl>
    <w:lvl w:ilvl="1">
      <w:lvlJc w:val="left"/>
      <w:lvlText w:val="(%2)"/>
      <w:numFmt w:val="upperLetter"/>
      <w:start w:val="3"/>
    </w:lvl>
  </w:abstractNum>
  <w:abstractNum w:abstractNumId="49">
    <w:nsid w:val="4C04A8AF"/>
    <w:multiLevelType w:val="hybridMultilevel"/>
    <w:lvl w:ilvl="0">
      <w:lvlJc w:val="left"/>
      <w:lvlText w:val="(%1)"/>
      <w:numFmt w:val="lowerLetter"/>
      <w:start w:val="2"/>
    </w:lvl>
    <w:lvl w:ilvl="1">
      <w:lvlJc w:val="left"/>
      <w:lvlText w:val="%2"/>
      <w:numFmt w:val="upperLetter"/>
      <w:start w:val="1"/>
    </w:lvl>
  </w:abstractNum>
  <w:abstractNum w:abstractNumId="50">
    <w:nsid w:val="1716703B"/>
    <w:multiLevelType w:val="hybridMultilevel"/>
    <w:lvl w:ilvl="0">
      <w:lvlJc w:val="left"/>
      <w:lvlText w:val="(%1)"/>
      <w:numFmt w:val="lowerLetter"/>
      <w:start w:val="1"/>
    </w:lvl>
  </w:abstractNum>
  <w:abstractNum w:abstractNumId="51">
    <w:nsid w:val="14E17E33"/>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52">
    <w:nsid w:val="3222E7CD"/>
    <w:multiLevelType w:val="hybridMultilevel"/>
    <w:lvl w:ilvl="0">
      <w:lvlJc w:val="left"/>
      <w:lvlText w:val="%1"/>
      <w:numFmt w:val="lowerRoman"/>
      <w:start w:val="1"/>
    </w:lvl>
    <w:lvl w:ilvl="1">
      <w:lvlJc w:val="left"/>
      <w:lvlText w:val="(%2)"/>
      <w:numFmt w:val="upperLetter"/>
      <w:start w:val="4"/>
    </w:lvl>
  </w:abstractNum>
  <w:abstractNum w:abstractNumId="53">
    <w:nsid w:val="74DE0EE3"/>
    <w:multiLevelType w:val="hybridMultilevel"/>
    <w:lvl w:ilvl="0">
      <w:lvlJc w:val="left"/>
      <w:lvlText w:val="(%1)"/>
      <w:numFmt w:val="lowerRoman"/>
      <w:start w:val="3"/>
    </w:lvl>
    <w:lvl w:ilvl="1">
      <w:lvlJc w:val="left"/>
      <w:lvlText w:val="%2"/>
      <w:numFmt w:val="upperLetter"/>
      <w:start w:val="1"/>
    </w:lvl>
  </w:abstractNum>
  <w:abstractNum w:abstractNumId="54">
    <w:nsid w:val="68EBC550"/>
    <w:multiLevelType w:val="hybridMultilevel"/>
    <w:lvl w:ilvl="0">
      <w:lvlJc w:val="left"/>
      <w:lvlText w:val="(%1)"/>
      <w:numFmt w:val="lowerLetter"/>
      <w:start w:val="7"/>
    </w:lvl>
  </w:abstractNum>
  <w:abstractNum w:abstractNumId="55">
    <w:nsid w:val="2DF6D648"/>
    <w:multiLevelType w:val="hybridMultilevel"/>
    <w:lvl w:ilvl="0">
      <w:lvlJc w:val="left"/>
      <w:lvlText w:val="(%1)"/>
      <w:numFmt w:val="lowerLetter"/>
      <w:start w:val="8"/>
    </w:lvl>
  </w:abstractNum>
  <w:abstractNum w:abstractNumId="56">
    <w:nsid w:val="46B7D447"/>
    <w:multiLevelType w:val="hybridMultilevel"/>
    <w:lvl w:ilvl="0">
      <w:lvlJc w:val="left"/>
      <w:lvlText w:val="(%1)"/>
      <w:numFmt w:val="lowerLetter"/>
      <w:start w:val="2"/>
    </w:lvl>
  </w:abstractNum>
  <w:abstractNum w:abstractNumId="57">
    <w:nsid w:val="4A2AC315"/>
    <w:multiLevelType w:val="hybridMultilevel"/>
    <w:lvl w:ilvl="0">
      <w:lvlJc w:val="left"/>
      <w:lvlText w:val="(%1)"/>
      <w:numFmt w:val="lowerLetter"/>
      <w:start w:val="1"/>
    </w:lvl>
    <w:lvl w:ilvl="1">
      <w:lvlJc w:val="left"/>
      <w:lvlText w:val="(%2)"/>
      <w:numFmt w:val="lowerRoman"/>
      <w:start w:val="1"/>
    </w:lvl>
  </w:abstractNum>
  <w:abstractNum w:abstractNumId="58">
    <w:nsid w:val="39EE015C"/>
    <w:multiLevelType w:val="hybridMultilevel"/>
    <w:lvl w:ilvl="0">
      <w:lvlJc w:val="left"/>
      <w:lvlText w:val="(%1)"/>
      <w:numFmt w:val="lowerRoman"/>
      <w:start w:val="3"/>
    </w:lvl>
    <w:lvl w:ilvl="1">
      <w:lvlJc w:val="left"/>
      <w:lvlText w:val="(%2)"/>
      <w:numFmt w:val="upperLetter"/>
      <w:start w:val="1"/>
    </w:lvl>
  </w:abstractNum>
  <w:abstractNum w:abstractNumId="59">
    <w:nsid w:val="57FC4FB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60">
    <w:nsid w:val="CC1016F"/>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61">
    <w:nsid w:val="43F1842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2">
    <w:nsid w:val="60EF0119"/>
    <w:multiLevelType w:val="hybridMultilevel"/>
    <w:lvl w:ilvl="0">
      <w:lvlJc w:val="left"/>
      <w:lvlText w:val="(%1)"/>
      <w:numFmt w:val="upperLetter"/>
      <w:start w:val="2"/>
    </w:lvl>
  </w:abstractNum>
  <w:abstractNum w:abstractNumId="63">
    <w:nsid w:val="26F324BA"/>
    <w:multiLevelType w:val="hybridMultilevel"/>
    <w:lvl w:ilvl="0">
      <w:lvlJc w:val="left"/>
      <w:lvlText w:val="(%1)"/>
      <w:numFmt w:val="lowerRoman"/>
      <w:start w:val="1"/>
    </w:lvl>
  </w:abstractNum>
  <w:abstractNum w:abstractNumId="64">
    <w:nsid w:val="7F01579B"/>
    <w:multiLevelType w:val="hybridMultilevel"/>
    <w:lvl w:ilvl="0">
      <w:lvlJc w:val="left"/>
      <w:lvlText w:val="(%1)"/>
      <w:numFmt w:val="lowerRoman"/>
      <w:start w:val="2"/>
    </w:lvl>
  </w:abstractNum>
  <w:abstractNum w:abstractNumId="65">
    <w:nsid w:val="49DA307D"/>
    <w:multiLevelType w:val="hybridMultilevel"/>
    <w:lvl w:ilvl="0">
      <w:lvlJc w:val="left"/>
      <w:lvlText w:val="(%1)"/>
      <w:numFmt w:val="lowerLetter"/>
      <w:start w:val="1"/>
    </w:lvl>
  </w:abstractNum>
  <w:abstractNum w:abstractNumId="66">
    <w:nsid w:val="7055A5F5"/>
    <w:multiLevelType w:val="hybridMultilevel"/>
    <w:lvl w:ilvl="0">
      <w:lvlJc w:val="left"/>
      <w:lvlText w:val="(%1)"/>
      <w:numFmt w:val="lowerRoman"/>
      <w:start w:val="2"/>
    </w:lvl>
  </w:abstractNum>
  <w:abstractNum w:abstractNumId="67">
    <w:nsid w:val="5FB8370B"/>
    <w:multiLevelType w:val="hybridMultilevel"/>
    <w:lvl w:ilvl="0">
      <w:lvlJc w:val="left"/>
      <w:lvlText w:val="(%1)"/>
      <w:numFmt w:val="lowerRoman"/>
      <w:start w:val="1"/>
    </w:lvl>
  </w:abstractNum>
  <w:abstractNum w:abstractNumId="68">
    <w:nsid w:val="50801EE1"/>
    <w:multiLevelType w:val="hybridMultilevel"/>
    <w:lvl w:ilvl="0">
      <w:lvlJc w:val="left"/>
      <w:lvlText w:val="(%1)"/>
      <w:numFmt w:val="lowerLetter"/>
      <w:start w:val="1"/>
    </w:lvl>
  </w:abstractNum>
  <w:abstractNum w:abstractNumId="69">
    <w:nsid w:val="488AC1A"/>
    <w:multiLevelType w:val="hybridMultilevel"/>
    <w:lvl w:ilvl="0">
      <w:lvlJc w:val="left"/>
      <w:lvlText w:val="(%1)"/>
      <w:numFmt w:val="lowerLetter"/>
      <w:start w:val="1"/>
    </w:lvl>
  </w:abstractNum>
  <w:abstractNum w:abstractNumId="70">
    <w:nsid w:val="5FB8011C"/>
    <w:multiLevelType w:val="hybridMultilevel"/>
    <w:lvl w:ilvl="0">
      <w:lvlJc w:val="left"/>
      <w:lvlText w:val="(%1)"/>
      <w:numFmt w:val="lowerLetter"/>
      <w:start w:val="1"/>
    </w:lvl>
  </w:abstractNum>
  <w:abstractNum w:abstractNumId="71">
    <w:nsid w:val="6AA78F7F"/>
    <w:multiLevelType w:val="hybridMultilevel"/>
    <w:lvl w:ilvl="0">
      <w:lvlJc w:val="left"/>
      <w:lvlText w:val="(%1)"/>
      <w:numFmt w:val="lowerLetter"/>
      <w:start w:val="1"/>
    </w:lvl>
  </w:abstractNum>
  <w:abstractNum w:abstractNumId="72">
    <w:nsid w:val="7672BD23"/>
    <w:multiLevelType w:val="hybridMultilevel"/>
    <w:lvl w:ilvl="0">
      <w:lvlJc w:val="left"/>
      <w:lvlText w:val="(%1)"/>
      <w:numFmt w:val="lowerLetter"/>
      <w:start w:val="2"/>
    </w:lvl>
  </w:abstractNum>
  <w:abstractNum w:abstractNumId="73">
    <w:nsid w:val="6FC75AF8"/>
    <w:multiLevelType w:val="hybridMultilevel"/>
    <w:lvl w:ilvl="0">
      <w:lvlJc w:val="left"/>
      <w:lvlText w:val="%1"/>
      <w:numFmt w:val="decimal"/>
      <w:start w:val="1"/>
    </w:lvl>
    <w:lvl w:ilvl="1">
      <w:lvlJc w:val="left"/>
      <w:lvlText w:val="(%2)"/>
      <w:numFmt w:val="lowerLetter"/>
      <w:start w:val="6"/>
    </w:lvl>
  </w:abstractNum>
  <w:abstractNum w:abstractNumId="74">
    <w:nsid w:val="6A5F7029"/>
    <w:multiLevelType w:val="hybridMultilevel"/>
    <w:lvl w:ilvl="0">
      <w:lvlJc w:val="left"/>
      <w:lvlText w:val="(%1)"/>
      <w:numFmt w:val="decimal"/>
      <w:start w:val="7"/>
    </w:lvl>
    <w:lvl w:ilvl="1">
      <w:lvlJc w:val="left"/>
      <w:lvlText w:val="%2"/>
      <w:numFmt w:val="lowerLetter"/>
      <w:start w:val="1"/>
    </w:lvl>
  </w:abstractNum>
  <w:abstractNum w:abstractNumId="75">
    <w:nsid w:val="7D5E18F8"/>
    <w:multiLevelType w:val="hybridMultilevel"/>
    <w:lvl w:ilvl="0">
      <w:lvlJc w:val="left"/>
      <w:lvlText w:val="(%1)"/>
      <w:numFmt w:val="lowerLetter"/>
      <w:start w:val="8"/>
    </w:lvl>
  </w:abstractNum>
  <w:abstractNum w:abstractNumId="76">
    <w:nsid w:val="5F3534A4"/>
    <w:multiLevelType w:val="hybridMultilevel"/>
    <w:lvl w:ilvl="0">
      <w:lvlJc w:val="left"/>
      <w:lvlText w:val="(%1)"/>
      <w:numFmt w:val="lowerLetter"/>
      <w:start w:val="13"/>
    </w:lvl>
  </w:abstractNum>
  <w:abstractNum w:abstractNumId="77">
    <w:nsid w:val="73A1821B"/>
    <w:multiLevelType w:val="hybridMultilevel"/>
    <w:lvl w:ilvl="0">
      <w:lvlJc w:val="left"/>
      <w:lvlText w:val="(%1)"/>
      <w:numFmt w:val="lowerLetter"/>
      <w:start w:val="1"/>
    </w:lvl>
  </w:abstractNum>
  <w:abstractNum w:abstractNumId="78">
    <w:nsid w:val="7DE67713"/>
    <w:multiLevelType w:val="hybridMultilevel"/>
    <w:lvl w:ilvl="0">
      <w:lvlJc w:val="left"/>
      <w:lvlText w:val="(%1)"/>
      <w:numFmt w:val="lowerLetter"/>
      <w:start w:val="1"/>
    </w:lvl>
  </w:abstractNum>
  <w:abstractNum w:abstractNumId="79">
    <w:nsid w:val="555C55B5"/>
    <w:multiLevelType w:val="hybridMultilevel"/>
    <w:lvl w:ilvl="0">
      <w:lvlJc w:val="left"/>
      <w:lvlText w:val="(%1)"/>
      <w:numFmt w:val="lowerLetter"/>
      <w:start w:val="5"/>
    </w:lvl>
  </w:abstractNum>
  <w:abstractNum w:abstractNumId="80">
    <w:nsid w:val="3FA62ACA"/>
    <w:multiLevelType w:val="hybridMultilevel"/>
    <w:lvl w:ilvl="0">
      <w:lvlJc w:val="left"/>
      <w:lvlText w:val="(%1)"/>
      <w:numFmt w:val="lowerLetter"/>
      <w:start w:val="11"/>
    </w:lvl>
  </w:abstractNum>
  <w:abstractNum w:abstractNumId="81">
    <w:nsid w:val="14FCE74E"/>
    <w:multiLevelType w:val="hybridMultilevel"/>
    <w:lvl w:ilvl="0">
      <w:lvlJc w:val="left"/>
      <w:lvlText w:val="(%1)"/>
      <w:numFmt w:val="lowerLetter"/>
      <w:start w:val="2"/>
    </w:lvl>
  </w:abstractNum>
  <w:abstractNum w:abstractNumId="82">
    <w:nsid w:val="6A3DD3E8"/>
    <w:multiLevelType w:val="hybridMultilevel"/>
    <w:lvl w:ilvl="0">
      <w:lvlJc w:val="left"/>
      <w:lvlText w:val="(%1)"/>
      <w:numFmt w:val="lowerLetter"/>
      <w:start w:val="1"/>
    </w:lvl>
    <w:lvl w:ilvl="1">
      <w:lvlJc w:val="left"/>
      <w:lvlText w:val="(%2)"/>
      <w:numFmt w:val="lowerRoman"/>
      <w:start w:val="1"/>
    </w:lvl>
  </w:abstractNum>
  <w:abstractNum w:abstractNumId="83">
    <w:nsid w:val="71C91298"/>
    <w:multiLevelType w:val="hybridMultilevel"/>
    <w:lvl w:ilvl="0">
      <w:lvlJc w:val="left"/>
      <w:lvlText w:val="(%1)"/>
      <w:numFmt w:val="lowerLetter"/>
      <w:start w:val="2"/>
    </w:lvl>
  </w:abstractNum>
  <w:abstractNum w:abstractNumId="84">
    <w:nsid w:val="9DAF632"/>
    <w:multiLevelType w:val="hybridMultilevel"/>
    <w:lvl w:ilvl="0">
      <w:lvlJc w:val="left"/>
      <w:lvlText w:val="(%1)"/>
      <w:numFmt w:val="lowerLetter"/>
      <w:start w:val="1"/>
    </w:lvl>
  </w:abstractNum>
  <w:abstractNum w:abstractNumId="85">
    <w:nsid w:val="53299938"/>
    <w:multiLevelType w:val="hybridMultilevel"/>
    <w:lvl w:ilvl="0">
      <w:lvlJc w:val="left"/>
      <w:lvlText w:val="(%1)"/>
      <w:numFmt w:val="lowerLetter"/>
      <w:start w:val="2"/>
    </w:lvl>
  </w:abstractNum>
  <w:abstractNum w:abstractNumId="86">
    <w:nsid w:val="1FBFE8E0"/>
    <w:multiLevelType w:val="hybridMultilevel"/>
    <w:lvl w:ilvl="0">
      <w:lvlJc w:val="left"/>
      <w:lvlText w:val="(%1)"/>
      <w:numFmt w:val="lowerLetter"/>
      <w:start w:val="13"/>
    </w:lvl>
  </w:abstractNum>
  <w:abstractNum w:abstractNumId="87">
    <w:nsid w:val="5092CA79"/>
    <w:multiLevelType w:val="hybridMultilevel"/>
    <w:lvl w:ilvl="0">
      <w:lvlJc w:val="left"/>
      <w:lvlText w:val="(%1)"/>
      <w:numFmt w:val="lowerLetter"/>
      <w:start w:val="3"/>
    </w:lvl>
  </w:abstractNum>
  <w:abstractNum w:abstractNumId="88">
    <w:nsid w:val="1D545C4D"/>
    <w:multiLevelType w:val="hybridMultilevel"/>
    <w:lvl w:ilvl="0">
      <w:lvlJc w:val="left"/>
      <w:lvlText w:val="(%1)"/>
      <w:numFmt w:val="lowerLetter"/>
      <w:start w:val="1"/>
    </w:lvl>
  </w:abstractNum>
  <w:abstractNum w:abstractNumId="89">
    <w:nsid w:val="59ADEA3D"/>
    <w:multiLevelType w:val="hybridMultilevel"/>
    <w:lvl w:ilvl="0">
      <w:lvlJc w:val="left"/>
      <w:lvlText w:val="%1"/>
      <w:numFmt w:val="upperLetter"/>
      <w:start w:val="1"/>
    </w:lvl>
    <w:lvl w:ilvl="1">
      <w:lvlJc w:val="left"/>
      <w:lvlText w:val="(%2)"/>
      <w:numFmt w:val="lowerLetter"/>
      <w:start w:val="6"/>
    </w:lvl>
  </w:abstractNum>
  <w:abstractNum w:abstractNumId="90">
    <w:nsid w:val="288F1A34"/>
    <w:multiLevelType w:val="hybridMultilevel"/>
    <w:lvl w:ilvl="0">
      <w:lvlJc w:val="left"/>
      <w:lvlText w:val="(%1)"/>
      <w:numFmt w:val="upperLetter"/>
      <w:start w:val="1"/>
    </w:lvl>
    <w:lvl w:ilvl="1">
      <w:lvlJc w:val="left"/>
      <w:lvlText w:val="(%2)"/>
      <w:numFmt w:val="lowerLetter"/>
      <w:start w:val="7"/>
    </w:lvl>
  </w:abstractNum>
  <w:abstractNum w:abstractNumId="91">
    <w:nsid w:val="2A155DBC"/>
    <w:multiLevelType w:val="hybridMultilevel"/>
    <w:lvl w:ilvl="0">
      <w:lvlJc w:val="left"/>
      <w:lvlText w:val="(%1)"/>
      <w:numFmt w:val="lowerLetter"/>
      <w:start w:val="10"/>
    </w:lvl>
  </w:abstractNum>
  <w:abstractNum w:abstractNumId="92">
    <w:nsid w:val="1D9F6E5F"/>
    <w:multiLevelType w:val="hybridMultilevel"/>
    <w:lvl w:ilvl="0">
      <w:lvlJc w:val="left"/>
      <w:lvlText w:val="(%1)"/>
      <w:numFmt w:val="upperLetter"/>
      <w:start w:val="2"/>
    </w:lvl>
  </w:abstractNum>
  <w:abstractNum w:abstractNumId="93">
    <w:nsid w:val="97E1B4E"/>
    <w:multiLevelType w:val="hybridMultilevel"/>
    <w:lvl w:ilvl="0">
      <w:lvlJc w:val="left"/>
      <w:lvlText w:val="(%1)"/>
      <w:numFmt w:val="lowerLetter"/>
      <w:start w:val="1"/>
    </w:lvl>
  </w:abstractNum>
  <w:abstractNum w:abstractNumId="94">
    <w:nsid w:val="51088277"/>
    <w:multiLevelType w:val="hybridMultilevel"/>
    <w:lvl w:ilvl="0">
      <w:lvlJc w:val="left"/>
      <w:lvlText w:val="(%1)"/>
      <w:numFmt w:val="lowerLetter"/>
      <w:start w:val="3"/>
    </w:lvl>
  </w:abstractNum>
  <w:abstractNum w:abstractNumId="95">
    <w:nsid w:val="1CA0C5FA"/>
    <w:multiLevelType w:val="hybridMultilevel"/>
    <w:lvl w:ilvl="0">
      <w:lvlJc w:val="left"/>
      <w:lvlText w:val="(%1)"/>
      <w:numFmt w:val="lowerLetter"/>
      <w:start w:val="1"/>
    </w:lvl>
    <w:lvl w:ilvl="1">
      <w:lvlJc w:val="left"/>
      <w:lvlText w:val="(%2)"/>
      <w:numFmt w:val="lowerRoman"/>
      <w:start w:val="1"/>
    </w:lvl>
  </w:abstractNum>
  <w:abstractNum w:abstractNumId="96">
    <w:nsid w:val="53584BCB"/>
    <w:multiLevelType w:val="hybridMultilevel"/>
    <w:lvl w:ilvl="0">
      <w:lvlJc w:val="left"/>
      <w:lvlText w:val="(%1)"/>
      <w:numFmt w:val="lowerLetter"/>
      <w:start w:val="1"/>
    </w:lvl>
    <w:lvl w:ilvl="1">
      <w:lvlJc w:val="left"/>
      <w:lvlText w:val="(%2)"/>
      <w:numFmt w:val="lowerRoman"/>
      <w:start w:val="4"/>
    </w:lvl>
  </w:abstractNum>
  <w:abstractNum w:abstractNumId="97">
    <w:nsid w:val="415E286C"/>
    <w:multiLevelType w:val="hybridMultilevel"/>
    <w:lvl w:ilvl="0">
      <w:lvlJc w:val="left"/>
      <w:lvlText w:val="(%1)"/>
      <w:numFmt w:val="lowerLetter"/>
      <w:start w:val="1"/>
    </w:lvl>
  </w:abstractNum>
  <w:abstractNum w:abstractNumId="98">
    <w:nsid w:val="7C58FD0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99">
    <w:nsid w:val="23D86AAC"/>
    <w:multiLevelType w:val="hybridMultilevel"/>
    <w:lvl w:ilvl="0">
      <w:lvlJc w:val="left"/>
      <w:lvlText w:val="(%1)"/>
      <w:numFmt w:val="lowerLetter"/>
      <w:start w:val="25"/>
    </w:lvl>
    <w:lvl w:ilvl="1">
      <w:lvlJc w:val="left"/>
      <w:lvlText w:val="(%2)"/>
      <w:numFmt w:val="lowerLetter"/>
      <w:start w:val="4"/>
    </w:lvl>
    <w:lvl w:ilvl="2">
      <w:lvlJc w:val="left"/>
      <w:lvlText w:val="%3"/>
      <w:numFmt w:val="lowerLetter"/>
      <w:start w:val="1"/>
    </w:lvl>
  </w:abstractNum>
  <w:abstractNum w:abstractNumId="100">
    <w:nsid w:val="45E6D486"/>
    <w:multiLevelType w:val="hybridMultilevel"/>
    <w:lvl w:ilvl="0">
      <w:lvlJc w:val="left"/>
      <w:lvlText w:val="(%1)"/>
      <w:numFmt w:val="lowerLetter"/>
      <w:start w:val="1"/>
    </w:lvl>
  </w:abstractNum>
  <w:abstractNum w:abstractNumId="101">
    <w:nsid w:val="5C10FE21"/>
    <w:multiLevelType w:val="hybridMultilevel"/>
    <w:lvl w:ilvl="0">
      <w:lvlJc w:val="left"/>
      <w:lvlText w:val="(%1)"/>
      <w:numFmt w:val="lowerLetter"/>
      <w:start w:val="3"/>
    </w:lvl>
  </w:abstractNum>
  <w:abstractNum w:abstractNumId="102">
    <w:nsid w:val="E7FFA2B"/>
    <w:multiLevelType w:val="hybridMultilevel"/>
    <w:lvl w:ilvl="0">
      <w:lvlJc w:val="left"/>
      <w:lvlText w:val="(%1)"/>
      <w:numFmt w:val="lowerLetter"/>
      <w:start w:val="4"/>
    </w:lvl>
  </w:abstractNum>
  <w:abstractNum w:abstractNumId="103">
    <w:nsid w:val="3C5991AA"/>
    <w:multiLevelType w:val="hybridMultilevel"/>
    <w:lvl w:ilvl="0">
      <w:lvlJc w:val="left"/>
      <w:lvlText w:val="(%1)"/>
      <w:numFmt w:val="lowerLetter"/>
      <w:start w:val="1"/>
    </w:lvl>
  </w:abstractNum>
  <w:abstractNum w:abstractNumId="104">
    <w:nsid w:val="4BD8591A"/>
    <w:multiLevelType w:val="hybridMultilevel"/>
    <w:lvl w:ilvl="0">
      <w:lvlJc w:val="left"/>
      <w:lvlText w:val="(%1)"/>
      <w:numFmt w:val="lowerLetter"/>
      <w:start w:val="1"/>
    </w:lvl>
  </w:abstractNum>
  <w:abstractNum w:abstractNumId="105">
    <w:nsid w:val="78DF6A55"/>
    <w:multiLevelType w:val="hybridMultilevel"/>
    <w:lvl w:ilvl="0">
      <w:lvlJc w:val="left"/>
      <w:lvlText w:val="(%1)"/>
      <w:numFmt w:val="lowerLetter"/>
      <w:start w:val="3"/>
    </w:lvl>
  </w:abstractNum>
  <w:abstractNum w:abstractNumId="106">
    <w:nsid w:val="39B7AAA2"/>
    <w:multiLevelType w:val="hybridMultilevel"/>
    <w:lvl w:ilvl="0">
      <w:lvlJc w:val="left"/>
      <w:lvlText w:val="%1"/>
      <w:numFmt w:val="lowerLetter"/>
      <w:start w:val="1"/>
    </w:lvl>
    <w:lvl w:ilvl="1">
      <w:lvlJc w:val="left"/>
      <w:lvlText w:val="(%2)"/>
      <w:numFmt w:val="lowerLetter"/>
      <w:start w:val="1"/>
    </w:lvl>
  </w:abstractNum>
  <w:abstractNum w:abstractNumId="107">
    <w:nsid w:val="2B0D8DBE"/>
    <w:multiLevelType w:val="hybridMultilevel"/>
    <w:lvl w:ilvl="0">
      <w:lvlJc w:val="left"/>
      <w:lvlText w:val="(%1)"/>
      <w:numFmt w:val="lowerLetter"/>
      <w:start w:val="9"/>
    </w:lvl>
    <w:lvl w:ilvl="1">
      <w:lvlJc w:val="left"/>
      <w:lvlText w:val="%2"/>
      <w:numFmt w:val="lowerLetter"/>
      <w:start w:val="1"/>
    </w:lvl>
  </w:abstractNum>
  <w:abstractNum w:abstractNumId="108">
    <w:nsid w:val="6C80EC70"/>
    <w:multiLevelType w:val="hybridMultilevel"/>
    <w:lvl w:ilvl="0">
      <w:lvlJc w:val="left"/>
      <w:lvlText w:val="(%1)"/>
      <w:numFmt w:val="lowerLetter"/>
      <w:start w:val="25"/>
    </w:lvl>
    <w:lvl w:ilvl="1">
      <w:lvlJc w:val="left"/>
      <w:lvlText w:val="(%2)"/>
      <w:numFmt w:val="lowerLetter"/>
      <w:start w:val="2"/>
    </w:lvl>
    <w:lvl w:ilvl="2">
      <w:lvlJc w:val="left"/>
      <w:lvlText w:val="(%3)"/>
      <w:numFmt w:val="upperLetter"/>
      <w:start w:val="1"/>
    </w:lvl>
  </w:abstractNum>
  <w:abstractNum w:abstractNumId="109">
    <w:nsid w:val="379E21B5"/>
    <w:multiLevelType w:val="hybridMultilevel"/>
    <w:lvl w:ilvl="0">
      <w:lvlJc w:val="left"/>
      <w:lvlText w:val="%1"/>
      <w:numFmt w:val="lowerRoman"/>
      <w:start w:val="1"/>
    </w:lvl>
    <w:lvl w:ilvl="1">
      <w:lvlJc w:val="left"/>
      <w:lvlText w:val="(%2)"/>
      <w:numFmt w:val="upperLetter"/>
      <w:start w:val="2"/>
    </w:lvl>
  </w:abstractNum>
  <w:abstractNum w:abstractNumId="110">
    <w:nsid w:val="69E373"/>
    <w:multiLevelType w:val="hybridMultilevel"/>
    <w:lvl w:ilvl="0">
      <w:lvlJc w:val="left"/>
      <w:lvlText w:val="(%1)"/>
      <w:numFmt w:val="lowerRoman"/>
      <w:start w:val="2"/>
    </w:lvl>
    <w:lvl w:ilvl="1">
      <w:lvlJc w:val="left"/>
      <w:lvlText w:val="(%2)"/>
      <w:numFmt w:val="upperLetter"/>
      <w:start w:val="1"/>
    </w:lvl>
  </w:abstractNum>
  <w:abstractNum w:abstractNumId="111">
    <w:nsid w:val="2C27173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12">
    <w:nsid w:val="4C9B0904"/>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13">
    <w:nsid w:val="6AA7B75C"/>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14">
    <w:nsid w:val="1DF029D3"/>
    <w:multiLevelType w:val="hybridMultilevel"/>
    <w:lvl w:ilvl="0">
      <w:lvlJc w:val="left"/>
      <w:lvlText w:val="(%1)"/>
      <w:numFmt w:val="lowerLetter"/>
      <w:start w:val="4"/>
    </w:lvl>
  </w:abstractNum>
  <w:abstractNum w:abstractNumId="115">
    <w:nsid w:val="5675FF36"/>
    <w:multiLevelType w:val="hybridMultilevel"/>
    <w:lvl w:ilvl="0">
      <w:lvlJc w:val="left"/>
      <w:lvlText w:val="(%1)"/>
      <w:numFmt w:val="lowerLetter"/>
      <w:start w:val="1"/>
    </w:lvl>
  </w:abstractNum>
  <w:abstractNum w:abstractNumId="116">
    <w:nsid w:val="3DD15094"/>
    <w:multiLevelType w:val="hybridMultilevel"/>
    <w:lvl w:ilvl="0">
      <w:lvlJc w:val="left"/>
      <w:lvlText w:val="(%1)"/>
      <w:numFmt w:val="lowerLetter"/>
      <w:start w:val="2"/>
    </w:lvl>
  </w:abstractNum>
  <w:abstractNum w:abstractNumId="117">
    <w:nsid w:val="3DB012B3"/>
    <w:multiLevelType w:val="hybridMultilevel"/>
    <w:lvl w:ilvl="0">
      <w:lvlJc w:val="left"/>
      <w:lvlText w:val="(%1)"/>
      <w:numFmt w:val="lowerLetter"/>
      <w:start w:val="1"/>
    </w:lvl>
  </w:abstractNum>
  <w:abstractNum w:abstractNumId="118">
    <w:nsid w:val="2708C9AF"/>
    <w:multiLevelType w:val="hybridMultilevel"/>
    <w:lvl w:ilvl="0">
      <w:lvlJc w:val="left"/>
      <w:lvlText w:val="(%1)"/>
      <w:numFmt w:val="lowerLetter"/>
      <w:start w:val="2"/>
    </w:lvl>
  </w:abstractNum>
  <w:abstractNum w:abstractNumId="119">
    <w:nsid w:val="5B25ACE2"/>
    <w:multiLevelType w:val="hybridMultilevel"/>
    <w:lvl w:ilvl="0">
      <w:lvlJc w:val="left"/>
      <w:lvlText w:val="(%1)"/>
      <w:numFmt w:val="lowerLetter"/>
      <w:start w:val="1"/>
    </w:lvl>
  </w:abstractNum>
  <w:abstractNum w:abstractNumId="120">
    <w:nsid w:val="175DFCF0"/>
    <w:multiLevelType w:val="hybridMultilevel"/>
    <w:lvl w:ilvl="0">
      <w:lvlJc w:val="left"/>
      <w:lvlText w:val="(%1)"/>
      <w:numFmt w:val="lowerLetter"/>
      <w:start w:val="2"/>
    </w:lvl>
  </w:abstractNum>
  <w:abstractNum w:abstractNumId="121">
    <w:nsid w:val="4F97E3E4"/>
    <w:multiLevelType w:val="hybridMultilevel"/>
    <w:lvl w:ilvl="0">
      <w:lvlJc w:val="left"/>
      <w:lvlText w:val="(%1)"/>
      <w:numFmt w:val="upperLetter"/>
      <w:start w:val="2"/>
    </w:lvl>
  </w:abstractNum>
  <w:abstractNum w:abstractNumId="122">
    <w:nsid w:val="53B0A9E"/>
    <w:multiLevelType w:val="hybridMultilevel"/>
    <w:lvl w:ilvl="0">
      <w:lvlJc w:val="left"/>
      <w:lvlText w:val="(%1)"/>
      <w:numFmt w:val="lowerLetter"/>
      <w:start w:val="1"/>
    </w:lvl>
    <w:lvl w:ilvl="1">
      <w:lvlJc w:val="left"/>
      <w:lvlText w:val="(%2)"/>
      <w:numFmt w:val="lowerRoman"/>
      <w:start w:val="1"/>
    </w:lvl>
  </w:abstractNum>
  <w:abstractNum w:abstractNumId="123">
    <w:nsid w:val="34FD6B4F"/>
    <w:multiLevelType w:val="hybridMultilevel"/>
    <w:lvl w:ilvl="0">
      <w:lvlJc w:val="left"/>
      <w:lvlText w:val="•"/>
      <w:numFmt w:val="bullet"/>
      <w:start w:val="1"/>
    </w:lvl>
  </w:abstractNum>
  <w:abstractNum w:abstractNumId="124">
    <w:nsid w:val="5915FF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2026-03-17T15:39:46Z</dcterms:created>
  <dcterms:modified xsi:type="dcterms:W3CDTF">2026-03-17T15:39:46Z</dcterms:modified>
</cp:coreProperties>
</file>